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ОТЧЕТ</w:t>
      </w: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ИСПОЛНИТЕЛЬНОГО ОРГАНА</w:t>
      </w: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877A06" w:rsidRDefault="00877A06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НЕКОММЕРЧЕСКОЕ ПАРТНЕРСТВО</w:t>
      </w: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877A06">
        <w:rPr>
          <w:rFonts w:ascii="Times New Roman" w:hAnsi="Times New Roman"/>
          <w:b/>
          <w:sz w:val="44"/>
          <w:szCs w:val="44"/>
        </w:rPr>
        <w:t>Балтийское объединение специализированных подрядчиков в области энергетического обследования «</w:t>
      </w:r>
      <w:r>
        <w:rPr>
          <w:rFonts w:ascii="Times New Roman" w:hAnsi="Times New Roman"/>
          <w:b/>
          <w:sz w:val="44"/>
          <w:szCs w:val="44"/>
        </w:rPr>
        <w:t>БалтЭнергоЭффект»</w:t>
      </w: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</w:t>
      </w:r>
      <w:r w:rsidR="00686A7B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27547E" w:rsidP="0027547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7547E" w:rsidRDefault="008D77DC" w:rsidP="007D614A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 (далее – НП «БалтЭнергоЭффект» или Партнерство) учреждено 25 марта 2010 г</w:t>
      </w:r>
      <w:r w:rsidR="0076427A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сентября 2010 г</w:t>
      </w:r>
      <w:r w:rsidR="0076427A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Партнерству присвоен статус саморегулируемой организации, основанной на членстве лиц, выполняющих энергетическое обследование (регистрационный номер в  государственном реестре – СРО-Э-022).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ED3">
        <w:rPr>
          <w:rFonts w:ascii="Times New Roman" w:hAnsi="Times New Roman"/>
          <w:sz w:val="24"/>
          <w:szCs w:val="24"/>
        </w:rPr>
        <w:t xml:space="preserve">Сегодня Партнерство объединяет </w:t>
      </w:r>
      <w:r w:rsidRPr="00F71430">
        <w:rPr>
          <w:rFonts w:ascii="Times New Roman" w:hAnsi="Times New Roman"/>
          <w:sz w:val="24"/>
          <w:szCs w:val="24"/>
        </w:rPr>
        <w:t>1</w:t>
      </w:r>
      <w:r w:rsidR="00686A7B">
        <w:rPr>
          <w:rFonts w:ascii="Times New Roman" w:hAnsi="Times New Roman"/>
          <w:sz w:val="24"/>
          <w:szCs w:val="24"/>
        </w:rPr>
        <w:t>0</w:t>
      </w:r>
      <w:r w:rsidR="0095105A">
        <w:rPr>
          <w:rFonts w:ascii="Times New Roman" w:hAnsi="Times New Roman"/>
          <w:sz w:val="24"/>
          <w:szCs w:val="24"/>
        </w:rPr>
        <w:t>7</w:t>
      </w:r>
      <w:r w:rsidRPr="00F71430">
        <w:rPr>
          <w:rFonts w:ascii="Times New Roman" w:hAnsi="Times New Roman"/>
          <w:sz w:val="24"/>
          <w:szCs w:val="24"/>
        </w:rPr>
        <w:t xml:space="preserve"> компаний</w:t>
      </w:r>
      <w:r w:rsidRPr="00470ED3">
        <w:rPr>
          <w:rFonts w:ascii="Times New Roman" w:hAnsi="Times New Roman"/>
          <w:sz w:val="24"/>
          <w:szCs w:val="24"/>
        </w:rPr>
        <w:t>, среди которых не только энергоаудиторские организации Санкт-Петербурга, Ленинградской области, Северо-Западного региона, но и организации Москвы, Приволжского, Сибирского, Южного, Северо-Кавказского регионов.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78BF" w:rsidRDefault="00E478BF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A7B" w:rsidRDefault="0027547E" w:rsidP="0027547E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71430">
        <w:rPr>
          <w:rFonts w:ascii="Times New Roman" w:hAnsi="Times New Roman"/>
          <w:sz w:val="24"/>
          <w:szCs w:val="24"/>
        </w:rPr>
        <w:t xml:space="preserve">НП «БалтЭнергоЭффект» является </w:t>
      </w:r>
      <w:r w:rsidRPr="00F71430">
        <w:rPr>
          <w:rStyle w:val="a6"/>
          <w:rFonts w:ascii="Times New Roman" w:hAnsi="Times New Roman"/>
          <w:b w:val="0"/>
          <w:sz w:val="24"/>
          <w:szCs w:val="24"/>
        </w:rPr>
        <w:t>членом Национального объединения саморегулируемых организаций в област</w:t>
      </w:r>
      <w:r w:rsidR="00686A7B">
        <w:rPr>
          <w:rStyle w:val="a6"/>
          <w:rFonts w:ascii="Times New Roman" w:hAnsi="Times New Roman"/>
          <w:b w:val="0"/>
          <w:sz w:val="24"/>
          <w:szCs w:val="24"/>
        </w:rPr>
        <w:t>и энергетического обследования.</w:t>
      </w:r>
    </w:p>
    <w:p w:rsidR="00686A7B" w:rsidRDefault="00686A7B" w:rsidP="0027547E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7547E" w:rsidRDefault="0027547E" w:rsidP="0027547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ПАРТНЕРСТВА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E6D" w:rsidRDefault="00647340" w:rsidP="008C6E6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настоящее время </w:t>
      </w:r>
      <w:r w:rsidR="008C6E6D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целью Партнерства является совершенствование деятельности Партнерства и его членов, повышение качества энергетического обследования и энергетических паспортов, а также обеспечение экспертизы и учета копий паспортов в Минэнерго России.</w:t>
      </w:r>
    </w:p>
    <w:p w:rsidR="008C6E6D" w:rsidRDefault="008C6E6D" w:rsidP="008C6E6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целями работы Партнерства являются </w:t>
      </w:r>
      <w:r>
        <w:rPr>
          <w:rFonts w:ascii="Times New Roman" w:hAnsi="Times New Roman"/>
          <w:sz w:val="24"/>
          <w:szCs w:val="24"/>
        </w:rPr>
        <w:t>защита интересов компаний, входящих в Партнерство и представление их интересов в органах государственной власти, органах местного самоуправления, методическое обеспечение, а также активная информационная политика, содействие компаниям-членам в решении текущих проблем.</w:t>
      </w:r>
    </w:p>
    <w:p w:rsidR="008C6E6D" w:rsidRDefault="008C6E6D" w:rsidP="0027547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547E" w:rsidRDefault="0027547E" w:rsidP="00275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47E" w:rsidRPr="00CB389A" w:rsidRDefault="0027547E" w:rsidP="002754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 ПАРТНЕРСТВА</w:t>
      </w:r>
    </w:p>
    <w:p w:rsidR="0027547E" w:rsidRPr="00CB389A" w:rsidRDefault="0027547E" w:rsidP="002754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Реализация политики саморегулирования в области энергетического обследования.</w:t>
      </w: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дополнительных требований к стандартам и правилам,   регулирующим деятельность</w:t>
      </w:r>
      <w:r w:rsidRPr="00CB3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области энергетического обследования, методических рекомендаций по проведению энергетического обследования объектов различного назначения, оформлению энергетического паспорта, определения стоимости энергоаудита.</w:t>
      </w: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нормативно-правовой базы в области энергетического обследования.</w:t>
      </w: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hAnsi="Times New Roman"/>
          <w:sz w:val="24"/>
          <w:szCs w:val="24"/>
        </w:rPr>
        <w:t xml:space="preserve">Участие в </w:t>
      </w: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разработке нормативно-методических документов </w:t>
      </w:r>
      <w:r w:rsidRPr="00CB389A">
        <w:rPr>
          <w:rFonts w:ascii="Times New Roman" w:hAnsi="Times New Roman"/>
          <w:sz w:val="24"/>
          <w:szCs w:val="24"/>
        </w:rPr>
        <w:t>в составе Национального объединения СРО в области энергетического обследования</w:t>
      </w:r>
      <w:r w:rsidR="008C6E6D">
        <w:rPr>
          <w:rFonts w:ascii="Times New Roman" w:hAnsi="Times New Roman"/>
          <w:sz w:val="24"/>
          <w:szCs w:val="24"/>
        </w:rPr>
        <w:t xml:space="preserve"> (НОЭ)</w:t>
      </w:r>
      <w:r w:rsidRPr="00CB389A">
        <w:rPr>
          <w:rFonts w:ascii="Times New Roman" w:hAnsi="Times New Roman"/>
          <w:sz w:val="24"/>
          <w:szCs w:val="24"/>
        </w:rPr>
        <w:t>;</w:t>
      </w: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органами государственной власти, общественными организациями и СМИ, международными неправительственными организациями, осуществляющими деятельность в сфере, близкой Партнерству по целям.</w:t>
      </w: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Обеспечение дополнительной имущественной ответственности членов Партнерства перед потребителями выполненных ими работ и иными лицами.</w:t>
      </w: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поддержание высокого профессионального уровня специалистов в области энергетического обследования, повышение их квалификации. </w:t>
      </w:r>
    </w:p>
    <w:p w:rsidR="0027547E" w:rsidRPr="00CB389A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Защита прав субъектов деятельности в области энергетического обследования.</w:t>
      </w:r>
    </w:p>
    <w:p w:rsidR="0027547E" w:rsidRDefault="0027547E" w:rsidP="0027547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информационной открытости деятельности Партнерства и его членов.</w:t>
      </w:r>
    </w:p>
    <w:p w:rsidR="00BD3A39" w:rsidRPr="00F71430" w:rsidRDefault="00BD3A39" w:rsidP="00BD3A3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43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конференций по </w:t>
      </w:r>
      <w:proofErr w:type="spellStart"/>
      <w:r w:rsidRPr="00F71430">
        <w:rPr>
          <w:rFonts w:ascii="Times New Roman" w:eastAsia="Times New Roman" w:hAnsi="Times New Roman"/>
          <w:sz w:val="24"/>
          <w:szCs w:val="24"/>
          <w:lang w:eastAsia="ru-RU"/>
        </w:rPr>
        <w:t>энерго-и</w:t>
      </w:r>
      <w:proofErr w:type="spellEnd"/>
      <w:r w:rsidRPr="00F7143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ресурсосбережению, повышению энергетической эффективности с руководителями органов государственной власти, местного самоуправления, бюджетных организаций.</w:t>
      </w:r>
    </w:p>
    <w:p w:rsidR="00F71430" w:rsidRDefault="00F71430" w:rsidP="00F71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F85" w:rsidRDefault="00BC0F85" w:rsidP="00F71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430" w:rsidRDefault="00CD2FB3" w:rsidP="00F71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ПАРТНЕРСТВА</w:t>
      </w:r>
    </w:p>
    <w:p w:rsidR="00CD2FB3" w:rsidRDefault="00CD2FB3" w:rsidP="00F71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45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653155"/>
            <wp:effectExtent l="19050" t="0" r="3175" b="0"/>
            <wp:docPr id="3" name="Рисунок 2" descr="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85" w:rsidRDefault="00BC0F85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F85" w:rsidRDefault="00BC0F85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47E" w:rsidRDefault="00F71430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="00BD3A39">
        <w:rPr>
          <w:rFonts w:ascii="Times New Roman" w:hAnsi="Times New Roman"/>
          <w:b/>
          <w:sz w:val="24"/>
          <w:szCs w:val="24"/>
        </w:rPr>
        <w:t>ГИ РАБОТЫ ИСПОЛНИТЕЛЬНОГО ОРГАНА В 201</w:t>
      </w:r>
      <w:r w:rsidR="00686A7B">
        <w:rPr>
          <w:rFonts w:ascii="Times New Roman" w:hAnsi="Times New Roman"/>
          <w:b/>
          <w:sz w:val="24"/>
          <w:szCs w:val="24"/>
        </w:rPr>
        <w:t>3</w:t>
      </w:r>
      <w:r w:rsidR="00BC0F8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C0F85" w:rsidRDefault="00BC0F85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Единоличным исполнительным органом </w:t>
      </w:r>
      <w:r w:rsidRPr="00E958FE">
        <w:rPr>
          <w:rFonts w:ascii="Times New Roman" w:hAnsi="Times New Roman"/>
          <w:sz w:val="24"/>
          <w:szCs w:val="24"/>
        </w:rPr>
        <w:t>Партнерства</w:t>
      </w:r>
      <w:r w:rsidRPr="00E958FE"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Директор Партнерства. К компетенции Директора относятся все вопросы руководства текущей деятельностью Партнерства, за исключением вопросов, отнесенных к компетенции Общего собрания членов Партнерства, Совета Партнерства.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47E" w:rsidRDefault="0027547E" w:rsidP="00BC0F85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БЫКОВ Владимир Леонидович</w:t>
      </w:r>
    </w:p>
    <w:p w:rsidR="00F44D89" w:rsidRPr="00F81FDE" w:rsidRDefault="00F44D89" w:rsidP="00F44D89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81FDE">
        <w:rPr>
          <w:rStyle w:val="a6"/>
          <w:rFonts w:ascii="Times New Roman" w:hAnsi="Times New Roman"/>
          <w:sz w:val="24"/>
          <w:szCs w:val="24"/>
        </w:rPr>
        <w:t>Член Совета Национального объединения СРО в области энергетического обследования</w:t>
      </w:r>
      <w:r w:rsidR="00877A06">
        <w:rPr>
          <w:rStyle w:val="a6"/>
          <w:rFonts w:ascii="Times New Roman" w:hAnsi="Times New Roman"/>
          <w:sz w:val="24"/>
          <w:szCs w:val="24"/>
        </w:rPr>
        <w:t xml:space="preserve"> (НОЭ)</w:t>
      </w:r>
      <w:r w:rsidRPr="00F81FDE">
        <w:rPr>
          <w:rStyle w:val="a6"/>
          <w:rFonts w:ascii="Times New Roman" w:hAnsi="Times New Roman"/>
          <w:sz w:val="24"/>
          <w:szCs w:val="24"/>
        </w:rPr>
        <w:t>,</w:t>
      </w:r>
      <w:r w:rsidR="00877A06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77A06" w:rsidRPr="00197D89">
        <w:rPr>
          <w:rStyle w:val="a6"/>
          <w:rFonts w:ascii="Times New Roman" w:hAnsi="Times New Roman"/>
          <w:color w:val="000000"/>
          <w:sz w:val="24"/>
          <w:szCs w:val="24"/>
        </w:rPr>
        <w:t xml:space="preserve">вице-президент Национального объединения проектировщиков, член Совета Национального объединения проектировщиков, координатор Национального объединения проектировщиков по СЗФО, </w:t>
      </w:r>
      <w:r w:rsidR="00877A06" w:rsidRPr="00197D89">
        <w:rPr>
          <w:rStyle w:val="a6"/>
          <w:rFonts w:ascii="Times New Roman" w:hAnsi="Times New Roman"/>
          <w:sz w:val="24"/>
          <w:szCs w:val="24"/>
        </w:rPr>
        <w:t xml:space="preserve">член Совета Национального объединения изыскателей, </w:t>
      </w:r>
      <w:r w:rsidRPr="00F81FDE">
        <w:rPr>
          <w:rStyle w:val="a6"/>
          <w:rFonts w:ascii="Times New Roman" w:hAnsi="Times New Roman"/>
          <w:sz w:val="24"/>
          <w:szCs w:val="24"/>
        </w:rPr>
        <w:t xml:space="preserve"> председатель Комитета по предпринимательству в сфере строительства и рынку </w:t>
      </w:r>
      <w:r w:rsidRPr="00F81FDE">
        <w:rPr>
          <w:rStyle w:val="a6"/>
          <w:rFonts w:ascii="Times New Roman" w:hAnsi="Times New Roman"/>
          <w:sz w:val="24"/>
          <w:szCs w:val="24"/>
        </w:rPr>
        <w:lastRenderedPageBreak/>
        <w:t xml:space="preserve">недвижимости Санкт-Петербургской торгово-промышленной палаты, </w:t>
      </w:r>
      <w:r w:rsidRPr="00F81FDE">
        <w:rPr>
          <w:rFonts w:ascii="Times New Roman" w:hAnsi="Times New Roman"/>
          <w:b w:val="0"/>
          <w:color w:val="000000"/>
          <w:sz w:val="24"/>
          <w:szCs w:val="24"/>
        </w:rPr>
        <w:t xml:space="preserve">член попечительского Совета </w:t>
      </w:r>
      <w:r w:rsidRPr="00F81FDE">
        <w:rPr>
          <w:rFonts w:ascii="Times New Roman" w:hAnsi="Times New Roman"/>
          <w:b w:val="0"/>
          <w:sz w:val="24"/>
          <w:szCs w:val="24"/>
        </w:rPr>
        <w:t xml:space="preserve">Санкт-Петербургского отделения Общероссийского общественного Фонда «Центр качества строительства», </w:t>
      </w:r>
      <w:r w:rsidR="00877A06">
        <w:rPr>
          <w:rFonts w:ascii="Times New Roman" w:hAnsi="Times New Roman"/>
          <w:b w:val="0"/>
          <w:sz w:val="24"/>
          <w:szCs w:val="24"/>
        </w:rPr>
        <w:t xml:space="preserve">член наблюдательного Совета Рейтингового агентства строительного комплекса, </w:t>
      </w:r>
      <w:r w:rsidRPr="00F81FDE">
        <w:rPr>
          <w:rFonts w:ascii="Times New Roman" w:hAnsi="Times New Roman"/>
          <w:b w:val="0"/>
          <w:sz w:val="24"/>
          <w:szCs w:val="24"/>
        </w:rPr>
        <w:t>кандидат технических наук, Почетный строитель России.</w:t>
      </w:r>
    </w:p>
    <w:p w:rsidR="00F71430" w:rsidRDefault="00F71430" w:rsidP="00F714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5D" w:rsidRPr="0053405D" w:rsidRDefault="00F71430" w:rsidP="0053405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советник директора Партнерства </w:t>
      </w:r>
      <w:r w:rsidRPr="0095105A">
        <w:rPr>
          <w:rFonts w:ascii="Times New Roman" w:eastAsia="Times New Roman" w:hAnsi="Times New Roman"/>
          <w:b/>
          <w:sz w:val="24"/>
          <w:szCs w:val="24"/>
          <w:lang w:eastAsia="ru-RU"/>
        </w:rPr>
        <w:t>Журавлев Александр Александрович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председателя Комитета по нормативно-методической работе и унификации документов НОЭ, заместитель председателя Комитета по предпринимательству и рынку недвижимости Санкт-Петербургской торгово-промышленной палаты, член Комитета по обеспечению энергоэффективности объектов капитального строительства при Координационном совете  по развитию строительной отрасли Северо-Западного федерального округа</w:t>
      </w:r>
      <w:r w:rsidR="0053405D">
        <w:rPr>
          <w:rFonts w:ascii="Times New Roman" w:eastAsia="Times New Roman" w:hAnsi="Times New Roman"/>
          <w:sz w:val="24"/>
          <w:szCs w:val="24"/>
          <w:lang w:eastAsia="ru-RU"/>
        </w:rPr>
        <w:t xml:space="preserve">, член </w:t>
      </w:r>
      <w:r w:rsidR="0053405D" w:rsidRPr="0053405D">
        <w:rPr>
          <w:rFonts w:ascii="Times New Roman" w:hAnsi="Times New Roman"/>
          <w:sz w:val="24"/>
          <w:szCs w:val="24"/>
        </w:rPr>
        <w:t>подкомитета по проектированию сетей и систем инженерно-технического обеспечения зданий и сооружений Комитета нормативно-технической документации</w:t>
      </w:r>
      <w:proofErr w:type="gramEnd"/>
      <w:r w:rsidR="0053405D" w:rsidRPr="0053405D">
        <w:rPr>
          <w:rFonts w:ascii="Times New Roman" w:hAnsi="Times New Roman"/>
          <w:sz w:val="24"/>
          <w:szCs w:val="24"/>
        </w:rPr>
        <w:t xml:space="preserve"> для объектов промышленного и гражданского назначения НОП</w:t>
      </w:r>
      <w:r w:rsidR="0053405D">
        <w:rPr>
          <w:rFonts w:ascii="Times New Roman" w:hAnsi="Times New Roman"/>
          <w:sz w:val="24"/>
          <w:szCs w:val="24"/>
        </w:rPr>
        <w:t>, член Комитета нормативно-технической документации для объектов промышленного и гражданского назначения, доктор технических наук, профессор, почетный энергетик Российской Федерации.</w:t>
      </w:r>
    </w:p>
    <w:p w:rsidR="0027547E" w:rsidRDefault="0027547E" w:rsidP="0027547E">
      <w:pPr>
        <w:pStyle w:val="a4"/>
        <w:spacing w:before="0" w:beforeAutospacing="0" w:after="0" w:afterAutospacing="0"/>
        <w:ind w:firstLine="567"/>
        <w:jc w:val="both"/>
      </w:pPr>
      <w:r w:rsidRPr="00D35B4F">
        <w:t>Директор</w:t>
      </w:r>
      <w:r>
        <w:t xml:space="preserve"> осуществляет руководство текущей деятельностью </w:t>
      </w:r>
      <w:r w:rsidRPr="00D35B4F">
        <w:t>Партнерства</w:t>
      </w:r>
      <w:r>
        <w:t xml:space="preserve">, организует выполнение решений Общего собрания членов Партнерства и Совета Партнерства. </w:t>
      </w:r>
    </w:p>
    <w:p w:rsidR="0027547E" w:rsidRDefault="0027547E" w:rsidP="0027547E">
      <w:pPr>
        <w:pStyle w:val="a4"/>
        <w:spacing w:before="0" w:beforeAutospacing="0" w:after="0" w:afterAutospacing="0"/>
        <w:rPr>
          <w:rStyle w:val="a6"/>
          <w:rFonts w:eastAsia="Calibri"/>
          <w:b w:val="0"/>
        </w:rPr>
      </w:pPr>
    </w:p>
    <w:p w:rsidR="0027547E" w:rsidRDefault="0027547E" w:rsidP="00D35B4F">
      <w:pPr>
        <w:pStyle w:val="a4"/>
        <w:spacing w:before="0" w:beforeAutospacing="0" w:after="0" w:afterAutospacing="0"/>
        <w:rPr>
          <w:rFonts w:eastAsia="Calibri"/>
        </w:rPr>
      </w:pPr>
      <w:r>
        <w:rPr>
          <w:rStyle w:val="a6"/>
          <w:rFonts w:eastAsia="Calibri"/>
        </w:rPr>
        <w:t>Директор Партнерства осуществляет следующие функции:</w:t>
      </w:r>
      <w:r>
        <w:t xml:space="preserve"> </w:t>
      </w:r>
    </w:p>
    <w:p w:rsidR="0027547E" w:rsidRDefault="0027547E" w:rsidP="0027547E">
      <w:pPr>
        <w:pStyle w:val="a4"/>
        <w:spacing w:before="0" w:beforeAutospacing="0" w:after="0" w:afterAutospacing="0"/>
        <w:ind w:firstLine="567"/>
      </w:pP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руководит работой Партнерства в соответствии с его программами и планами;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без доверенности действует от имени Партнерства, совершает сделки, иные юридические действия и акты, самостоятельно распоряжается имуществом Партнерства в пределах утвержденной сметы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представляет Партнерство во всех государственных органах, учреждениях и  организациях, в отношениях со всеми третьими лицами, как в Российской Федерации, так и за границей;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открывает </w:t>
      </w:r>
      <w:proofErr w:type="gramStart"/>
      <w:r>
        <w:t>расчетный</w:t>
      </w:r>
      <w:proofErr w:type="gramEnd"/>
      <w:r>
        <w:t xml:space="preserve"> и иные счета Партнерства в банках;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издает приказы, распоряжения, дает указания, обязательные для исполнения работниками Партнерства, утверждает правила внутреннего трудового распорядка и обеспечивает их соблюдение;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по согласованию с Советом партнерства утверждает штатное расписание, утверждает Положения об оплате труда, должностные инструкции и другие положения, регламентирующие условия труда работников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принимает на работу и увольняет работников Партнерства, применяет к ним меры дисциплинарного воздействия в соответствии с законодательством Российской Федерации о труде;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обеспечивает выполнение решений Общего собрания членов Партнерства и Совета партнерства и несет ответственность за деятельность Партнерства перед Общим собранием членов Партнерства и Советом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организует учет и отчетность Партнерства, несет ответственность за ее достоверность;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представляет на утверждение Совета партнерства годовой отчет и баланс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выдает доверенности от имени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принимает решения о предъявлении от имени Партнерства претензий и исков к юридическим и физическим лицам и об удовлетворении претензий, предъявляемых к Партнерству;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совместно с Советом партнерства обеспечивает подготовку и проведение Общих собраний членов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организует техническое обеспечение работы Общего собрания членов Партнерства и Совета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осуществляет контроль за рациональным и экономным использованием материальных, трудовых и финансовых ресурсов;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в пределах своей компетенции обеспечивает соблюдение законности в деятельности Партнерства;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имеет право присутствовать на заседаниях Совета и специализированных органов Партнерства с правом совещательного голоса</w:t>
      </w:r>
    </w:p>
    <w:p w:rsidR="0027547E" w:rsidRDefault="0027547E" w:rsidP="0027547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решает другие вопросы текущей деятельности Партнерства.</w:t>
      </w:r>
    </w:p>
    <w:p w:rsidR="00F71430" w:rsidRDefault="00F71430" w:rsidP="00F71430">
      <w:pPr>
        <w:pStyle w:val="a4"/>
        <w:spacing w:before="0" w:beforeAutospacing="0" w:after="0" w:afterAutospacing="0"/>
        <w:jc w:val="both"/>
      </w:pPr>
    </w:p>
    <w:p w:rsidR="000C287F" w:rsidRDefault="000C287F" w:rsidP="00F7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87F" w:rsidRDefault="000C287F" w:rsidP="00F7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430" w:rsidRDefault="00F71430" w:rsidP="00F7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Общественная деятельность Партнерства</w:t>
      </w:r>
    </w:p>
    <w:p w:rsidR="00F71430" w:rsidRDefault="00F71430" w:rsidP="00F7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430" w:rsidRDefault="00F71430" w:rsidP="00F71430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 «БалтЭнергоЭффект» принимает активное участие в общественной деятельности, взаимодействуя как с всероссийскими,  так и с региональными общественными организациями и объединениями. Партнерство сотрудничает со следующими объединениями:</w:t>
      </w:r>
    </w:p>
    <w:p w:rsidR="00F71430" w:rsidRPr="00F71430" w:rsidRDefault="00F71430" w:rsidP="00F714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30">
        <w:rPr>
          <w:rStyle w:val="a6"/>
          <w:rFonts w:ascii="Times New Roman" w:hAnsi="Times New Roman"/>
          <w:b w:val="0"/>
          <w:sz w:val="24"/>
          <w:szCs w:val="24"/>
        </w:rPr>
        <w:t xml:space="preserve">Национальным объединением саморегулируемых организаций в области энергетического обследования. </w:t>
      </w:r>
      <w:r w:rsidRPr="00F71430">
        <w:rPr>
          <w:rFonts w:ascii="Times New Roman" w:hAnsi="Times New Roman"/>
          <w:sz w:val="24"/>
          <w:szCs w:val="24"/>
        </w:rPr>
        <w:t>Директор Партнерства В.Л. Быков является членом Совета НОЭ. Советник директора Партнерства А.А.  Журавлев является членом Комитета по научно-методической работе и унификации документов НОЭ.</w:t>
      </w:r>
    </w:p>
    <w:p w:rsidR="00F71430" w:rsidRDefault="00F71430" w:rsidP="00F714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430">
        <w:rPr>
          <w:rFonts w:ascii="Times New Roman" w:hAnsi="Times New Roman"/>
          <w:sz w:val="24"/>
          <w:szCs w:val="24"/>
        </w:rPr>
        <w:t xml:space="preserve">Российским Союзом строителей (РСС). </w:t>
      </w:r>
    </w:p>
    <w:p w:rsidR="00640F9C" w:rsidRPr="00332173" w:rsidRDefault="00640F9C" w:rsidP="00640F9C">
      <w:pPr>
        <w:pStyle w:val="a4"/>
        <w:spacing w:before="0" w:beforeAutospacing="0" w:after="0" w:afterAutospacing="0"/>
        <w:ind w:left="709"/>
        <w:jc w:val="both"/>
        <w:rPr>
          <w:bCs/>
        </w:rPr>
      </w:pPr>
      <w:r w:rsidRPr="00332173">
        <w:t>В рамках совместной деятельности с РСС руководством НП «БалтЭнергоЭффект» была организована работа по</w:t>
      </w:r>
      <w:r>
        <w:t xml:space="preserve"> рецензированию</w:t>
      </w:r>
      <w:r w:rsidRPr="00332173">
        <w:t xml:space="preserve"> двух проектов Технических регламентов Таможенного Союза, предложены мероприятия по участию Комитета РСС и Комиссии РСПП </w:t>
      </w:r>
      <w:r>
        <w:t xml:space="preserve">в </w:t>
      </w:r>
      <w:r w:rsidRPr="00332173">
        <w:t>разработк</w:t>
      </w:r>
      <w:r>
        <w:t>е</w:t>
      </w:r>
      <w:r w:rsidRPr="00332173">
        <w:t xml:space="preserve"> и экспертиз</w:t>
      </w:r>
      <w:r>
        <w:t>е</w:t>
      </w:r>
      <w:r w:rsidRPr="00332173">
        <w:t xml:space="preserve"> документов в свете </w:t>
      </w:r>
      <w:r w:rsidRPr="00332173">
        <w:rPr>
          <w:bCs/>
        </w:rPr>
        <w:t>Перечня поручений по реализации Послания Президента Федеральному Собранию в части, затрагивающей интересы бизнес-сообщества.</w:t>
      </w:r>
    </w:p>
    <w:p w:rsidR="00640F9C" w:rsidRPr="00F71430" w:rsidRDefault="00640F9C" w:rsidP="00640F9C">
      <w:pPr>
        <w:pStyle w:val="a5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40F9C">
        <w:rPr>
          <w:rFonts w:ascii="Times New Roman" w:hAnsi="Times New Roman"/>
          <w:sz w:val="24"/>
          <w:szCs w:val="24"/>
        </w:rPr>
        <w:t>В соответствии с предложением президента Российского Союза строителей В.А. Яковлева о внедрении в каждом регионе Российской Федерации новых разработок  по соответствующему направлению деятельности каждого Комитета руководством Совета Партнерства были проведены лабораторные и натурные испытания современной жидкой теплоизоляции на основе микросфер на объектах строительства и в системах теплоснабжения Санкт-Петербурга.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F9C">
        <w:rPr>
          <w:rFonts w:ascii="Times New Roman" w:hAnsi="Times New Roman"/>
          <w:sz w:val="24"/>
          <w:szCs w:val="24"/>
        </w:rPr>
        <w:t>Указанные испытания определили практическое внедрение современных инновационных разработок.</w:t>
      </w:r>
    </w:p>
    <w:p w:rsidR="00F71430" w:rsidRPr="00F71430" w:rsidRDefault="00F71430" w:rsidP="00640F9C">
      <w:pPr>
        <w:pStyle w:val="a5"/>
        <w:numPr>
          <w:ilvl w:val="0"/>
          <w:numId w:val="12"/>
        </w:numPr>
        <w:spacing w:after="0" w:line="240" w:lineRule="auto"/>
        <w:contextualSpacing/>
        <w:jc w:val="both"/>
        <w:rPr>
          <w:rStyle w:val="a6"/>
          <w:b w:val="0"/>
          <w:sz w:val="24"/>
          <w:szCs w:val="24"/>
        </w:rPr>
      </w:pPr>
      <w:r w:rsidRPr="00F71430">
        <w:rPr>
          <w:rStyle w:val="a6"/>
          <w:rFonts w:ascii="Times New Roman" w:hAnsi="Times New Roman"/>
          <w:b w:val="0"/>
          <w:sz w:val="24"/>
          <w:szCs w:val="24"/>
        </w:rPr>
        <w:t xml:space="preserve">Аппаратом Полномочного представителя  Президента Российской Федерации в Северо-Западном федеральном округе. Советник директора Журавлев А.А.  входит в состав Комитета по обеспечению энергоэффективности объектов капитального строительства при Координационном совете по развитию строительной отрасли. </w:t>
      </w:r>
    </w:p>
    <w:p w:rsidR="00F71430" w:rsidRPr="00F71430" w:rsidRDefault="00F71430" w:rsidP="00F71430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71430">
        <w:rPr>
          <w:rStyle w:val="a6"/>
          <w:rFonts w:ascii="Times New Roman" w:hAnsi="Times New Roman"/>
          <w:b w:val="0"/>
          <w:sz w:val="24"/>
          <w:szCs w:val="24"/>
        </w:rPr>
        <w:t xml:space="preserve">Санкт-Петербургской торгово-промышленной палатой. </w:t>
      </w:r>
      <w:r w:rsidRPr="00F71430">
        <w:rPr>
          <w:rFonts w:ascii="Times New Roman" w:hAnsi="Times New Roman"/>
          <w:sz w:val="24"/>
          <w:szCs w:val="24"/>
        </w:rPr>
        <w:t xml:space="preserve">Директор Партнерства В.Л. Быков возглавляет </w:t>
      </w:r>
      <w:r w:rsidRPr="00F71430">
        <w:rPr>
          <w:rStyle w:val="a6"/>
          <w:rFonts w:ascii="Times New Roman" w:hAnsi="Times New Roman"/>
          <w:b w:val="0"/>
          <w:sz w:val="24"/>
          <w:szCs w:val="24"/>
        </w:rPr>
        <w:t>Комитет по предпринимательству в сфере строительства и рынку недвижимости.</w:t>
      </w:r>
    </w:p>
    <w:p w:rsidR="00F71430" w:rsidRPr="0053405D" w:rsidRDefault="00F71430" w:rsidP="00F714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430">
        <w:rPr>
          <w:rFonts w:ascii="Times New Roman" w:hAnsi="Times New Roman"/>
          <w:sz w:val="24"/>
          <w:szCs w:val="24"/>
        </w:rPr>
        <w:t>Союзом энергетиков Северо-Запада.</w:t>
      </w:r>
      <w:r w:rsidR="00640F9C">
        <w:rPr>
          <w:rFonts w:ascii="Times New Roman" w:hAnsi="Times New Roman"/>
          <w:sz w:val="24"/>
          <w:szCs w:val="24"/>
        </w:rPr>
        <w:t xml:space="preserve"> Президентом Союза энергетиков Северо-Запада членом-корреспондентом Российской академии архитектуры и строительных наук доктором технических наук профессором Аверьяновым В.К. были предложены решения в Региональный методический документ </w:t>
      </w:r>
      <w:r w:rsidR="00640F9C">
        <w:rPr>
          <w:rFonts w:ascii="Times New Roman" w:hAnsi="Times New Roman"/>
          <w:sz w:val="24"/>
          <w:szCs w:val="24"/>
        </w:rPr>
        <w:lastRenderedPageBreak/>
        <w:t>«</w:t>
      </w:r>
      <w:r w:rsidR="00D069D2">
        <w:rPr>
          <w:rFonts w:ascii="Times New Roman" w:hAnsi="Times New Roman"/>
          <w:sz w:val="24"/>
          <w:szCs w:val="24"/>
        </w:rPr>
        <w:t>Рекомендации по повышению энергетической эффективности жилых и общественных зданий», изданный в Санкт-Петербурге впервые и рекомендованный к использованию проектными организациями Комитетом по строительству Санкт-Петербурга.</w:t>
      </w:r>
    </w:p>
    <w:p w:rsidR="0053405D" w:rsidRPr="0053405D" w:rsidRDefault="0053405D" w:rsidP="00F714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29C6">
        <w:rPr>
          <w:rFonts w:ascii="Times New Roman" w:eastAsia="Times New Roman" w:hAnsi="Times New Roman"/>
          <w:sz w:val="24"/>
          <w:szCs w:val="24"/>
          <w:lang w:eastAsia="ru-RU"/>
        </w:rPr>
        <w:t>НП «АВОК СЕВЕРО-ЗАПАД»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69D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</w:t>
      </w:r>
      <w:r w:rsidR="002106DD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«АВОК СЕВЕРО-ЗАПАД» </w:t>
      </w:r>
      <w:r w:rsidR="00D069D2">
        <w:rPr>
          <w:rFonts w:ascii="Times New Roman" w:eastAsia="Times New Roman" w:hAnsi="Times New Roman"/>
          <w:sz w:val="24"/>
          <w:szCs w:val="24"/>
          <w:lang w:eastAsia="ru-RU"/>
        </w:rPr>
        <w:t>совместно с Союзом энергетиков Северо-Запада оценивается эффективность опытного образца индивидуального фильтро-вентиляционного устройства с рекуперацией, представленного НП «БалтЭнергоЭффект», НП «БОП» и НП «БСК». Применение подобных устройств позволит значительно снизить потери тепловой энергии на вентиляции при одновременном обеспечении комфортных условий проживания.</w:t>
      </w:r>
    </w:p>
    <w:p w:rsidR="0053405D" w:rsidRDefault="0053405D" w:rsidP="0053405D">
      <w:pPr>
        <w:spacing w:after="0" w:line="240" w:lineRule="auto"/>
        <w:ind w:left="72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53405D" w:rsidRDefault="0053405D" w:rsidP="005340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Проводится активная работа по нормативно-методическим документам в профильных Комитетах НОЭ, НОСТРОЙ, НОП, РСС.</w:t>
      </w:r>
    </w:p>
    <w:p w:rsidR="00C976BE" w:rsidRDefault="00C976BE" w:rsidP="005340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 xml:space="preserve">В этой связи следует отметить большую и плодотворную работу Партнерства по составлению отзывов на проекты важных нормативных документов, которые приходили по линии РСС, НОСТРОЙ и НОП. Речь идет о двух документах Таможенного Союза: </w:t>
      </w:r>
      <w:r w:rsidR="002876B7">
        <w:rPr>
          <w:rStyle w:val="a6"/>
          <w:rFonts w:ascii="Times New Roman" w:hAnsi="Times New Roman"/>
          <w:b w:val="0"/>
          <w:sz w:val="24"/>
          <w:szCs w:val="24"/>
        </w:rPr>
        <w:t xml:space="preserve">«Об информировании потребителя об энергетической эффективности электрических энергопотребляющих устройств» и </w:t>
      </w:r>
      <w:r>
        <w:rPr>
          <w:rStyle w:val="a6"/>
          <w:rFonts w:ascii="Times New Roman" w:hAnsi="Times New Roman"/>
          <w:b w:val="0"/>
          <w:sz w:val="24"/>
          <w:szCs w:val="24"/>
        </w:rPr>
        <w:t>«</w:t>
      </w:r>
      <w:r w:rsidR="002876B7">
        <w:rPr>
          <w:rStyle w:val="a6"/>
          <w:rFonts w:ascii="Times New Roman" w:hAnsi="Times New Roman"/>
          <w:b w:val="0"/>
          <w:sz w:val="24"/>
          <w:szCs w:val="24"/>
        </w:rPr>
        <w:t>О требованиях к системам и приборам учета воды, газа, тепловой энергии, электрической энергии».</w:t>
      </w:r>
    </w:p>
    <w:p w:rsidR="002876B7" w:rsidRDefault="002876B7" w:rsidP="002876B7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6"/>
          <w:b w:val="0"/>
        </w:rPr>
        <w:t xml:space="preserve">Кроме того, руководство Партнерства в рамках своей деятельности направляло предложения в Российский союз промышленников и предпринимателей с указанием конкретным мероприятий, которые могли войти программу во исполнение </w:t>
      </w:r>
      <w:r w:rsidRPr="002876B7">
        <w:rPr>
          <w:rStyle w:val="a6"/>
          <w:b w:val="0"/>
        </w:rPr>
        <w:t>п</w:t>
      </w:r>
      <w:r w:rsidRPr="002876B7">
        <w:rPr>
          <w:bCs/>
        </w:rPr>
        <w:t>еречня поручений по реализации Послания Президента</w:t>
      </w:r>
      <w:r w:rsidR="00ED3555">
        <w:rPr>
          <w:bCs/>
        </w:rPr>
        <w:t xml:space="preserve"> РФ</w:t>
      </w:r>
      <w:r w:rsidRPr="002876B7">
        <w:rPr>
          <w:bCs/>
        </w:rPr>
        <w:t xml:space="preserve"> Федеральному Собранию в части, затрагивающей интересы бизнес-сообщества</w:t>
      </w:r>
      <w:r>
        <w:rPr>
          <w:bCs/>
        </w:rPr>
        <w:t>.</w:t>
      </w:r>
    </w:p>
    <w:p w:rsidR="002876B7" w:rsidRPr="002876B7" w:rsidRDefault="002876B7" w:rsidP="002876B7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Представители НП «БалтЭнергоЭффект» неоднократно принимали участие в рассмотрении и обсуждении нормативно-методических документов</w:t>
      </w:r>
      <w:r w:rsidR="006C3C90">
        <w:rPr>
          <w:bCs/>
        </w:rPr>
        <w:t xml:space="preserve">, в частности </w:t>
      </w:r>
      <w:r w:rsidR="006C3C90">
        <w:t>первой редакции стандарта НОСТРОЙ «Автоматизированные системы коммерческого учета энергоресурсов. Устройство, монтаж, наладка, ввод в эксплуатацию», «Инженерные сети зданий и сооружений внутренние. Устройство систем газовоздушных трактов котельных установок мощностью до 150 МВт. Правила, контроль выполнения и требования к результатам работ».</w:t>
      </w:r>
      <w:r>
        <w:rPr>
          <w:bCs/>
        </w:rPr>
        <w:t xml:space="preserve"> </w:t>
      </w:r>
    </w:p>
    <w:p w:rsidR="002876B7" w:rsidRPr="0053405D" w:rsidRDefault="002876B7" w:rsidP="005340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F71430" w:rsidRPr="001C366F" w:rsidRDefault="00F71430" w:rsidP="00F71430">
      <w:pPr>
        <w:pStyle w:val="a5"/>
        <w:spacing w:after="0" w:line="240" w:lineRule="auto"/>
        <w:ind w:left="720"/>
        <w:jc w:val="both"/>
        <w:rPr>
          <w:rStyle w:val="a6"/>
          <w:rFonts w:ascii="Times New Roman" w:hAnsi="Times New Roman"/>
        </w:rPr>
      </w:pPr>
    </w:p>
    <w:p w:rsidR="00D16C6D" w:rsidRDefault="000C287F" w:rsidP="00D16C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деятельность Партнерства</w:t>
      </w:r>
    </w:p>
    <w:p w:rsidR="00D16C6D" w:rsidRDefault="00D16C6D" w:rsidP="00D16C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AE6" w:rsidRDefault="000C287F" w:rsidP="003E6A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информационной политики в 201</w:t>
      </w:r>
      <w:r w:rsidR="00433C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оказывалась информационная поддержка и продвижение </w:t>
      </w:r>
      <w:r w:rsidR="00433C5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артнерства и его членов с помощью Интернет-ресурса партнерства </w:t>
      </w:r>
      <w:proofErr w:type="spellStart"/>
      <w:r>
        <w:rPr>
          <w:rFonts w:ascii="Times New Roman" w:hAnsi="Times New Roman"/>
          <w:sz w:val="24"/>
          <w:szCs w:val="24"/>
        </w:rPr>
        <w:t>www.srobaltenergo.ru</w:t>
      </w:r>
      <w:proofErr w:type="spellEnd"/>
      <w:r>
        <w:rPr>
          <w:rFonts w:ascii="Times New Roman" w:hAnsi="Times New Roman"/>
          <w:sz w:val="24"/>
          <w:szCs w:val="24"/>
        </w:rPr>
        <w:t>, освещение их деятельности в средствах массовой информации, организация участия в профильных мероприятиях.</w:t>
      </w:r>
    </w:p>
    <w:p w:rsidR="003E6AE6" w:rsidRPr="003E6AE6" w:rsidRDefault="003E6AE6" w:rsidP="003E6A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AE6">
        <w:rPr>
          <w:rFonts w:ascii="Times New Roman" w:eastAsia="Times New Roman" w:hAnsi="Times New Roman"/>
          <w:sz w:val="24"/>
          <w:szCs w:val="24"/>
          <w:lang w:eastAsia="ru-RU"/>
        </w:rPr>
        <w:t xml:space="preserve">13 февраля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НП «БалтЭнергоЭффект» приняло участие в </w:t>
      </w:r>
      <w:r w:rsidRPr="003E6AE6">
        <w:rPr>
          <w:rFonts w:ascii="Times New Roman" w:eastAsia="Times New Roman" w:hAnsi="Times New Roman"/>
          <w:sz w:val="24"/>
          <w:szCs w:val="24"/>
          <w:lang w:eastAsia="ru-RU"/>
        </w:rPr>
        <w:t>Окружн</w:t>
      </w:r>
      <w:r w:rsidR="0051496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3E6AE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</w:t>
      </w:r>
      <w:r w:rsidR="005149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6AE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Национального объединения саморегулируемых организаций в области энергетического обследования по Северо-Западному федеральному округу</w:t>
      </w:r>
      <w:r w:rsidR="0051496D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участвовало </w:t>
      </w:r>
      <w:r w:rsidR="0051496D" w:rsidRPr="003E6AE6">
        <w:rPr>
          <w:rFonts w:ascii="Times New Roman" w:eastAsia="Times New Roman" w:hAnsi="Times New Roman"/>
          <w:sz w:val="24"/>
          <w:szCs w:val="24"/>
          <w:lang w:eastAsia="ru-RU"/>
        </w:rPr>
        <w:t>13 саморегулируемых организаций</w:t>
      </w:r>
      <w:r w:rsidRPr="003E6A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496D" w:rsidRDefault="000C287F" w:rsidP="0051496D">
      <w:pPr>
        <w:spacing w:after="0" w:line="24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33C57">
        <w:rPr>
          <w:rFonts w:ascii="Times New Roman" w:hAnsi="Times New Roman"/>
          <w:sz w:val="24"/>
          <w:szCs w:val="24"/>
        </w:rPr>
        <w:t>1</w:t>
      </w:r>
      <w:r w:rsidR="00433C57" w:rsidRPr="00433C57">
        <w:rPr>
          <w:rFonts w:ascii="Times New Roman" w:hAnsi="Times New Roman"/>
          <w:sz w:val="24"/>
          <w:szCs w:val="24"/>
        </w:rPr>
        <w:t>7</w:t>
      </w:r>
      <w:r w:rsidRPr="00433C57">
        <w:rPr>
          <w:rFonts w:ascii="Times New Roman" w:hAnsi="Times New Roman"/>
          <w:sz w:val="24"/>
          <w:szCs w:val="24"/>
        </w:rPr>
        <w:t xml:space="preserve"> апреля 201</w:t>
      </w:r>
      <w:r w:rsidR="00433C57" w:rsidRPr="00433C57">
        <w:rPr>
          <w:rFonts w:ascii="Times New Roman" w:hAnsi="Times New Roman"/>
          <w:sz w:val="24"/>
          <w:szCs w:val="24"/>
        </w:rPr>
        <w:t>3</w:t>
      </w:r>
      <w:r w:rsidRPr="00433C57">
        <w:rPr>
          <w:rFonts w:ascii="Times New Roman" w:hAnsi="Times New Roman"/>
          <w:sz w:val="24"/>
          <w:szCs w:val="24"/>
        </w:rPr>
        <w:t xml:space="preserve"> года</w:t>
      </w:r>
      <w:r>
        <w:t xml:space="preserve"> </w:t>
      </w:r>
      <w:r w:rsidRPr="00433C57">
        <w:rPr>
          <w:rFonts w:ascii="Times New Roman" w:hAnsi="Times New Roman"/>
          <w:sz w:val="24"/>
          <w:szCs w:val="24"/>
        </w:rPr>
        <w:t xml:space="preserve">в Санкт-Петербурге в рамках </w:t>
      </w:r>
      <w:r w:rsidR="00433C57" w:rsidRPr="00433C57">
        <w:rPr>
          <w:rFonts w:ascii="Times New Roman" w:hAnsi="Times New Roman"/>
          <w:sz w:val="24"/>
          <w:szCs w:val="24"/>
        </w:rPr>
        <w:t>Международной специализированной выставк</w:t>
      </w:r>
      <w:r w:rsidR="00433C57">
        <w:rPr>
          <w:rFonts w:ascii="Times New Roman" w:hAnsi="Times New Roman"/>
          <w:sz w:val="24"/>
          <w:szCs w:val="24"/>
        </w:rPr>
        <w:t>и</w:t>
      </w:r>
      <w:r w:rsidR="00433C57" w:rsidRPr="00433C57">
        <w:rPr>
          <w:rFonts w:ascii="Times New Roman" w:hAnsi="Times New Roman"/>
          <w:sz w:val="24"/>
          <w:szCs w:val="24"/>
        </w:rPr>
        <w:t xml:space="preserve"> «Энергетика и электротехника- 2012» (17.04– 20.04.2013) НП «БалтЭнергоЭффект» и Санкт-Петербургская торгово-промышленная палата организовали проведение двух круглых столов: «Вопросы энергетики в проектировании и строительстве зданий и сооружений» и «</w:t>
      </w:r>
      <w:proofErr w:type="spellStart"/>
      <w:r w:rsidR="00433C57" w:rsidRPr="00433C57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="00433C57" w:rsidRPr="00433C57">
        <w:rPr>
          <w:rFonts w:ascii="Times New Roman" w:hAnsi="Times New Roman"/>
          <w:sz w:val="24"/>
          <w:szCs w:val="24"/>
        </w:rPr>
        <w:t xml:space="preserve"> – путь к повышению эффективности производства».</w:t>
      </w:r>
      <w:r w:rsidR="00433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3C57">
        <w:rPr>
          <w:rFonts w:ascii="Times New Roman" w:hAnsi="Times New Roman"/>
          <w:sz w:val="24"/>
          <w:szCs w:val="24"/>
        </w:rPr>
        <w:t>Модераторами этих круглых столов были профессор Гримитлин А.М. и профессор Журавлев А.А.</w:t>
      </w:r>
      <w:r w:rsidR="001669F5">
        <w:rPr>
          <w:rFonts w:ascii="Times New Roman" w:hAnsi="Times New Roman"/>
          <w:sz w:val="24"/>
          <w:szCs w:val="24"/>
        </w:rPr>
        <w:t xml:space="preserve"> На заседаниях выступил начальник отдела Северо-Западного управления Ростехнадзора </w:t>
      </w:r>
      <w:proofErr w:type="spellStart"/>
      <w:r w:rsidR="001669F5">
        <w:rPr>
          <w:rFonts w:ascii="Times New Roman" w:hAnsi="Times New Roman"/>
          <w:sz w:val="24"/>
          <w:szCs w:val="24"/>
        </w:rPr>
        <w:t>Чмуль</w:t>
      </w:r>
      <w:proofErr w:type="spellEnd"/>
      <w:r w:rsidR="001669F5">
        <w:rPr>
          <w:rFonts w:ascii="Times New Roman" w:hAnsi="Times New Roman"/>
          <w:sz w:val="24"/>
          <w:szCs w:val="24"/>
        </w:rPr>
        <w:t xml:space="preserve"> В.Н., который рассказал о планах управления по проверке проведения организациями обязательного энергетического обследования: по </w:t>
      </w:r>
      <w:r w:rsidR="001669F5">
        <w:rPr>
          <w:rFonts w:ascii="Times New Roman" w:hAnsi="Times New Roman"/>
          <w:sz w:val="24"/>
          <w:szCs w:val="24"/>
        </w:rPr>
        <w:lastRenderedPageBreak/>
        <w:t>Северо-Западу в 2013 году должны быть проверены 4 500 организаций, из низ 3 500 по Санкт-Петербургу.</w:t>
      </w:r>
      <w:proofErr w:type="gramEnd"/>
    </w:p>
    <w:p w:rsidR="0051496D" w:rsidRDefault="001A58C3" w:rsidP="0051496D">
      <w:pPr>
        <w:spacing w:after="0" w:line="24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1496D">
        <w:rPr>
          <w:rFonts w:ascii="Times New Roman" w:hAnsi="Times New Roman"/>
          <w:sz w:val="24"/>
          <w:szCs w:val="24"/>
        </w:rPr>
        <w:t>2</w:t>
      </w:r>
      <w:r w:rsidR="0051496D" w:rsidRPr="0051496D">
        <w:rPr>
          <w:rFonts w:ascii="Times New Roman" w:hAnsi="Times New Roman"/>
          <w:sz w:val="24"/>
          <w:szCs w:val="24"/>
        </w:rPr>
        <w:t xml:space="preserve">8-30 </w:t>
      </w:r>
      <w:r w:rsidR="000C287F" w:rsidRPr="0051496D">
        <w:rPr>
          <w:rFonts w:ascii="Times New Roman" w:hAnsi="Times New Roman"/>
          <w:sz w:val="24"/>
          <w:szCs w:val="24"/>
        </w:rPr>
        <w:t>мая 201</w:t>
      </w:r>
      <w:r w:rsidR="0051496D" w:rsidRPr="0051496D">
        <w:rPr>
          <w:rFonts w:ascii="Times New Roman" w:hAnsi="Times New Roman"/>
          <w:sz w:val="24"/>
          <w:szCs w:val="24"/>
        </w:rPr>
        <w:t>3</w:t>
      </w:r>
      <w:r w:rsidR="000C287F" w:rsidRPr="0051496D">
        <w:rPr>
          <w:rFonts w:ascii="Times New Roman" w:hAnsi="Times New Roman"/>
          <w:sz w:val="24"/>
          <w:szCs w:val="24"/>
        </w:rPr>
        <w:t xml:space="preserve"> года в </w:t>
      </w:r>
      <w:r w:rsidR="0051496D" w:rsidRPr="0051496D">
        <w:rPr>
          <w:rFonts w:ascii="Times New Roman" w:hAnsi="Times New Roman"/>
          <w:sz w:val="24"/>
          <w:szCs w:val="24"/>
        </w:rPr>
        <w:t xml:space="preserve"> Санкт-Петербурге прошла </w:t>
      </w:r>
      <w:r w:rsidR="0051496D" w:rsidRPr="0051496D">
        <w:rPr>
          <w:rFonts w:ascii="Times New Roman" w:hAnsi="Times New Roman"/>
          <w:sz w:val="24"/>
          <w:szCs w:val="24"/>
          <w:lang w:val="en-US"/>
        </w:rPr>
        <w:t>IV</w:t>
      </w:r>
      <w:r w:rsidR="0051496D" w:rsidRPr="0051496D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«Энергосбережение в системах тепло- и газоснабжения. Повышение энергетической эффективности», на которой с докладом «Реальное энергосбережение: проблемы и пути решения» выступил советник директора НП «БалтЭнергоЭффект» А.А. Журавлев.</w:t>
      </w:r>
    </w:p>
    <w:p w:rsidR="00116B9A" w:rsidRDefault="0051496D" w:rsidP="00116B9A">
      <w:pPr>
        <w:spacing w:after="0" w:line="24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1496D">
        <w:rPr>
          <w:rFonts w:ascii="Times New Roman" w:hAnsi="Times New Roman"/>
          <w:sz w:val="24"/>
          <w:szCs w:val="24"/>
        </w:rPr>
        <w:t>6 июня в Москве прошла конференция «Реализация политики энергосбережения и энергоэффективности в промышленности и строительстве РФ»</w:t>
      </w:r>
      <w:r>
        <w:rPr>
          <w:rFonts w:ascii="Times New Roman" w:hAnsi="Times New Roman"/>
          <w:sz w:val="24"/>
          <w:szCs w:val="24"/>
        </w:rPr>
        <w:t>,</w:t>
      </w:r>
      <w:r w:rsidRPr="00514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96D">
        <w:rPr>
          <w:rFonts w:ascii="Times New Roman" w:hAnsi="Times New Roman"/>
          <w:sz w:val="24"/>
          <w:szCs w:val="24"/>
        </w:rPr>
        <w:t xml:space="preserve"> работе ко</w:t>
      </w:r>
      <w:r>
        <w:rPr>
          <w:rFonts w:ascii="Times New Roman" w:hAnsi="Times New Roman"/>
          <w:sz w:val="24"/>
          <w:szCs w:val="24"/>
        </w:rPr>
        <w:t>торой</w:t>
      </w:r>
      <w:r w:rsidRPr="0051496D">
        <w:rPr>
          <w:rFonts w:ascii="Times New Roman" w:hAnsi="Times New Roman"/>
          <w:sz w:val="24"/>
          <w:szCs w:val="24"/>
        </w:rPr>
        <w:t xml:space="preserve"> приняли участ</w:t>
      </w:r>
      <w:r>
        <w:rPr>
          <w:rFonts w:ascii="Times New Roman" w:hAnsi="Times New Roman"/>
          <w:sz w:val="24"/>
          <w:szCs w:val="24"/>
        </w:rPr>
        <w:t>ие представители НП «БалтЭнергоЭ</w:t>
      </w:r>
      <w:r w:rsidRPr="0051496D">
        <w:rPr>
          <w:rFonts w:ascii="Times New Roman" w:hAnsi="Times New Roman"/>
          <w:sz w:val="24"/>
          <w:szCs w:val="24"/>
        </w:rPr>
        <w:t>ффект».</w:t>
      </w:r>
    </w:p>
    <w:p w:rsidR="00116B9A" w:rsidRDefault="00116B9A" w:rsidP="00116B9A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>11 сентября 2013 года в Санкт-Петербурге в рамках деловой программы 17-й Международной выставки BalticBuild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>прошла  IV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Всероссийская научно-практическая конференция «Саморегулирование в строительном комплексе: повседневная практика и законодательство».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Совместно с НП «АЛЬЯНС СТРОИТЕЛЕЙ» НП «БалтЭнергоЭффект» организовали и успешно провели секцию «Энергоресурсосбережение в строительстве».</w:t>
      </w:r>
    </w:p>
    <w:p w:rsidR="00116B9A" w:rsidRDefault="00C976BE" w:rsidP="00116B9A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</w:t>
      </w:r>
      <w:r w:rsidR="00116B9A" w:rsidRPr="00887FC8">
        <w:rPr>
          <w:rFonts w:ascii="Times New Roman" w:hAnsi="Times New Roman"/>
          <w:sz w:val="24"/>
          <w:szCs w:val="24"/>
          <w:lang w:val="en-US"/>
        </w:rPr>
        <w:t>V</w:t>
      </w:r>
      <w:r w:rsidR="00116B9A" w:rsidRPr="00887FC8">
        <w:rPr>
          <w:rFonts w:ascii="Times New Roman" w:hAnsi="Times New Roman"/>
          <w:sz w:val="24"/>
          <w:szCs w:val="24"/>
        </w:rPr>
        <w:t xml:space="preserve"> Международном Конгрессе «Энергоэффективность. </w:t>
      </w:r>
      <w:proofErr w:type="gramStart"/>
      <w:r w:rsidR="00116B9A" w:rsidRPr="00887FC8">
        <w:rPr>
          <w:rFonts w:ascii="Times New Roman" w:hAnsi="Times New Roman"/>
          <w:sz w:val="24"/>
          <w:szCs w:val="24"/>
          <w:lang w:val="en-US"/>
        </w:rPr>
        <w:t>XXI</w:t>
      </w:r>
      <w:r w:rsidR="00116B9A" w:rsidRPr="00887FC8">
        <w:rPr>
          <w:rFonts w:ascii="Times New Roman" w:hAnsi="Times New Roman"/>
          <w:sz w:val="24"/>
          <w:szCs w:val="24"/>
        </w:rPr>
        <w:t xml:space="preserve"> век»</w:t>
      </w:r>
      <w:r w:rsidR="00D30D5B">
        <w:rPr>
          <w:rFonts w:ascii="Times New Roman" w:hAnsi="Times New Roman"/>
          <w:sz w:val="24"/>
          <w:szCs w:val="24"/>
        </w:rPr>
        <w:t xml:space="preserve">                             </w:t>
      </w:r>
      <w:r w:rsidR="00116B9A" w:rsidRPr="00887FC8">
        <w:rPr>
          <w:rFonts w:ascii="Times New Roman" w:hAnsi="Times New Roman"/>
          <w:sz w:val="24"/>
          <w:szCs w:val="24"/>
        </w:rPr>
        <w:t xml:space="preserve"> (20</w:t>
      </w:r>
      <w:r w:rsidR="00116B9A">
        <w:rPr>
          <w:rFonts w:ascii="Times New Roman" w:hAnsi="Times New Roman"/>
          <w:sz w:val="24"/>
          <w:szCs w:val="24"/>
        </w:rPr>
        <w:t>.11</w:t>
      </w:r>
      <w:r w:rsidR="00116B9A" w:rsidRPr="00887FC8">
        <w:rPr>
          <w:rFonts w:ascii="Times New Roman" w:hAnsi="Times New Roman"/>
          <w:sz w:val="24"/>
          <w:szCs w:val="24"/>
        </w:rPr>
        <w:t>-21</w:t>
      </w:r>
      <w:r w:rsidR="00116B9A">
        <w:rPr>
          <w:rFonts w:ascii="Times New Roman" w:hAnsi="Times New Roman"/>
          <w:sz w:val="24"/>
          <w:szCs w:val="24"/>
        </w:rPr>
        <w:t>.11.</w:t>
      </w:r>
      <w:r w:rsidR="00D30D5B">
        <w:rPr>
          <w:rFonts w:ascii="Times New Roman" w:hAnsi="Times New Roman"/>
          <w:sz w:val="24"/>
          <w:szCs w:val="24"/>
        </w:rPr>
        <w:t>2013</w:t>
      </w:r>
      <w:r w:rsidR="00116B9A" w:rsidRPr="00887FC8">
        <w:rPr>
          <w:rFonts w:ascii="Times New Roman" w:hAnsi="Times New Roman"/>
          <w:sz w:val="24"/>
          <w:szCs w:val="24"/>
        </w:rPr>
        <w:t xml:space="preserve">) представители Партнерства приняли участие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выступили с докладом на </w:t>
      </w:r>
      <w:r w:rsidR="00116B9A" w:rsidRPr="00887FC8">
        <w:rPr>
          <w:rFonts w:ascii="Times New Roman" w:hAnsi="Times New Roman"/>
          <w:sz w:val="24"/>
          <w:szCs w:val="24"/>
        </w:rPr>
        <w:t xml:space="preserve">секции </w:t>
      </w:r>
      <w:r w:rsidR="00D30D5B">
        <w:rPr>
          <w:rFonts w:ascii="Times New Roman" w:hAnsi="Times New Roman"/>
          <w:sz w:val="24"/>
          <w:szCs w:val="24"/>
        </w:rPr>
        <w:t>«</w:t>
      </w:r>
      <w:r w:rsidR="00116B9A" w:rsidRPr="00887FC8">
        <w:rPr>
          <w:rFonts w:ascii="Times New Roman" w:hAnsi="Times New Roman"/>
          <w:sz w:val="24"/>
          <w:szCs w:val="24"/>
        </w:rPr>
        <w:t>Строительная теплофизика и энергоэффективное проектирование ограждающих конструкций зданий</w:t>
      </w:r>
      <w:r w:rsidR="00D30D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976BE" w:rsidRPr="003D4B01" w:rsidRDefault="00C976BE" w:rsidP="00C976BE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 «БалтЭнергоЭффект» также участвовало 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D4B01">
        <w:rPr>
          <w:rFonts w:ascii="Times New Roman" w:hAnsi="Times New Roman"/>
          <w:sz w:val="24"/>
          <w:szCs w:val="24"/>
        </w:rPr>
        <w:t>В</w:t>
      </w:r>
      <w:proofErr w:type="gramEnd"/>
      <w:r w:rsidRPr="003D4B01"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z w:val="24"/>
          <w:szCs w:val="24"/>
        </w:rPr>
        <w:t>м</w:t>
      </w:r>
      <w:r w:rsidRPr="003D4B01">
        <w:rPr>
          <w:rFonts w:ascii="Times New Roman" w:hAnsi="Times New Roman"/>
          <w:sz w:val="24"/>
          <w:szCs w:val="24"/>
        </w:rPr>
        <w:t xml:space="preserve"> международн</w:t>
      </w:r>
      <w:r>
        <w:rPr>
          <w:rFonts w:ascii="Times New Roman" w:hAnsi="Times New Roman"/>
          <w:sz w:val="24"/>
          <w:szCs w:val="24"/>
        </w:rPr>
        <w:t>ом</w:t>
      </w:r>
      <w:r w:rsidRPr="003D4B01">
        <w:rPr>
          <w:rFonts w:ascii="Times New Roman" w:hAnsi="Times New Roman"/>
          <w:sz w:val="24"/>
          <w:szCs w:val="24"/>
        </w:rPr>
        <w:t xml:space="preserve"> форум</w:t>
      </w:r>
      <w:r>
        <w:rPr>
          <w:rFonts w:ascii="Times New Roman" w:hAnsi="Times New Roman"/>
          <w:sz w:val="24"/>
          <w:szCs w:val="24"/>
        </w:rPr>
        <w:t>е</w:t>
      </w:r>
      <w:r w:rsidRPr="003D4B01">
        <w:rPr>
          <w:rFonts w:ascii="Times New Roman" w:hAnsi="Times New Roman"/>
          <w:sz w:val="24"/>
          <w:szCs w:val="24"/>
        </w:rPr>
        <w:t xml:space="preserve"> по энергоэффективности и энергосбережению ENES 2013</w:t>
      </w:r>
      <w:r>
        <w:rPr>
          <w:rFonts w:ascii="Times New Roman" w:hAnsi="Times New Roman"/>
          <w:sz w:val="24"/>
          <w:szCs w:val="24"/>
        </w:rPr>
        <w:t xml:space="preserve"> (21-23.11.2013) в Москве при участии Минэнерго России и Правительства Москвы.</w:t>
      </w:r>
    </w:p>
    <w:p w:rsidR="00C976BE" w:rsidRDefault="00C976BE" w:rsidP="00C976BE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87F" w:rsidRPr="001669F5" w:rsidRDefault="000C287F" w:rsidP="000C2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9F5">
        <w:rPr>
          <w:rFonts w:ascii="Times New Roman" w:hAnsi="Times New Roman"/>
          <w:sz w:val="24"/>
          <w:szCs w:val="24"/>
        </w:rPr>
        <w:t>В текущем году в рамках осуществления информационной политики Партнерство также выполняло следующие задачи:</w:t>
      </w:r>
    </w:p>
    <w:p w:rsidR="000C287F" w:rsidRPr="001669F5" w:rsidRDefault="000C287F" w:rsidP="000C287F">
      <w:pPr>
        <w:pStyle w:val="a5"/>
        <w:numPr>
          <w:ilvl w:val="0"/>
          <w:numId w:val="13"/>
        </w:numPr>
        <w:spacing w:after="1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9F5">
        <w:rPr>
          <w:rFonts w:ascii="Times New Roman" w:hAnsi="Times New Roman"/>
          <w:sz w:val="24"/>
          <w:szCs w:val="24"/>
        </w:rPr>
        <w:t xml:space="preserve"> обеспечение информацией о деятельности Партнерства заинтересованных лиц, в том числе путем размещения информации на официальном сайте Партнерства;</w:t>
      </w:r>
    </w:p>
    <w:p w:rsidR="000C287F" w:rsidRPr="00697468" w:rsidRDefault="000C287F" w:rsidP="000C287F">
      <w:pPr>
        <w:pStyle w:val="a5"/>
        <w:numPr>
          <w:ilvl w:val="0"/>
          <w:numId w:val="13"/>
        </w:numPr>
        <w:spacing w:after="10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hAnsi="Times New Roman"/>
          <w:sz w:val="24"/>
          <w:szCs w:val="24"/>
        </w:rPr>
        <w:t xml:space="preserve"> взаимодействие со СМИ для своевременного информирования общественности о важнейших событиях в деятельности Партнерс</w:t>
      </w:r>
      <w:r w:rsidR="001669F5" w:rsidRPr="00697468">
        <w:rPr>
          <w:rFonts w:ascii="Times New Roman" w:hAnsi="Times New Roman"/>
          <w:sz w:val="24"/>
          <w:szCs w:val="24"/>
        </w:rPr>
        <w:t>тва, а также его членов. За 2013</w:t>
      </w:r>
      <w:r w:rsidRPr="00697468">
        <w:rPr>
          <w:rFonts w:ascii="Times New Roman" w:hAnsi="Times New Roman"/>
          <w:sz w:val="24"/>
          <w:szCs w:val="24"/>
        </w:rPr>
        <w:t xml:space="preserve"> год опубликовано более </w:t>
      </w:r>
      <w:r w:rsidR="001669F5" w:rsidRPr="00697468">
        <w:rPr>
          <w:rFonts w:ascii="Times New Roman" w:hAnsi="Times New Roman"/>
          <w:sz w:val="24"/>
          <w:szCs w:val="24"/>
        </w:rPr>
        <w:t>2</w:t>
      </w:r>
      <w:r w:rsidRPr="00697468">
        <w:rPr>
          <w:rFonts w:ascii="Times New Roman" w:hAnsi="Times New Roman"/>
          <w:sz w:val="24"/>
          <w:szCs w:val="24"/>
        </w:rPr>
        <w:t>0 материалов в профил</w:t>
      </w:r>
      <w:r w:rsidR="001669F5" w:rsidRPr="00697468">
        <w:rPr>
          <w:rFonts w:ascii="Times New Roman" w:hAnsi="Times New Roman"/>
          <w:sz w:val="24"/>
          <w:szCs w:val="24"/>
        </w:rPr>
        <w:t xml:space="preserve">ьных и общественно-деловых СМИ. </w:t>
      </w:r>
      <w:r w:rsidRPr="00697468">
        <w:rPr>
          <w:rFonts w:ascii="Times New Roman" w:hAnsi="Times New Roman"/>
          <w:sz w:val="24"/>
          <w:szCs w:val="24"/>
        </w:rPr>
        <w:t xml:space="preserve">На сегодняшний день </w:t>
      </w:r>
      <w:r w:rsidRPr="00697468">
        <w:rPr>
          <w:rFonts w:ascii="Times New Roman" w:eastAsia="Times New Roman" w:hAnsi="Times New Roman"/>
          <w:sz w:val="24"/>
          <w:szCs w:val="24"/>
        </w:rPr>
        <w:t>в целях информирования общественности о деятельности Партнерства и продвижения компаний-членов Партнерства осуществляется сотрудничество с такими ведущими специализированными, деловыми и общественно-политическими СМИ, как: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«Балтийский горизонт»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«Российский строительный комплекс»;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«Вестник строительного комплекса»;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журнал «Новые возможности»; 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газета «Кто строит в Петербурге»;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«Бизнес-информ»;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газета «Строительный еженедельник»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«Энергонадзор-Информ»;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«Инженерные системы»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</w:t>
      </w:r>
      <w:r w:rsidR="00697468" w:rsidRPr="00697468">
        <w:rPr>
          <w:rFonts w:ascii="Times New Roman" w:eastAsia="Times New Roman" w:hAnsi="Times New Roman"/>
          <w:sz w:val="24"/>
          <w:szCs w:val="24"/>
        </w:rPr>
        <w:t xml:space="preserve">газета </w:t>
      </w:r>
      <w:r w:rsidRPr="00697468">
        <w:rPr>
          <w:rFonts w:ascii="Times New Roman" w:eastAsia="Times New Roman" w:hAnsi="Times New Roman"/>
          <w:sz w:val="24"/>
          <w:szCs w:val="24"/>
        </w:rPr>
        <w:t>«Энергетика и промышленность России»;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«Строительство и городское хозяйство»;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телеканал «Строй-ТВ»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интернет-портал: «Саморегулирование в строительной отрасли»;</w:t>
      </w:r>
    </w:p>
    <w:p w:rsidR="000C287F" w:rsidRPr="00697468" w:rsidRDefault="000C287F" w:rsidP="000C287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информационный интернет-портал 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SROportal</w:t>
      </w:r>
      <w:r w:rsidRPr="00697468">
        <w:rPr>
          <w:rFonts w:ascii="Times New Roman" w:eastAsia="Times New Roman" w:hAnsi="Times New Roman"/>
          <w:sz w:val="24"/>
          <w:szCs w:val="24"/>
        </w:rPr>
        <w:t>.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697468">
        <w:rPr>
          <w:rFonts w:ascii="Times New Roman" w:eastAsia="Times New Roman" w:hAnsi="Times New Roman"/>
          <w:sz w:val="24"/>
          <w:szCs w:val="24"/>
        </w:rPr>
        <w:t>.</w:t>
      </w:r>
    </w:p>
    <w:p w:rsidR="000C287F" w:rsidRPr="00697468" w:rsidRDefault="000C287F" w:rsidP="000C28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47E" w:rsidRDefault="00D30D5B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27547E">
        <w:rPr>
          <w:rFonts w:ascii="Times New Roman" w:hAnsi="Times New Roman"/>
          <w:b/>
          <w:sz w:val="24"/>
          <w:szCs w:val="24"/>
        </w:rPr>
        <w:lastRenderedPageBreak/>
        <w:t>Юридический отдел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5647" w:rsidRDefault="00185647" w:rsidP="0027547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деятельности юридического отдела в 2013 году стала подготовка изменений в действующие локальные акты Партнерства.</w:t>
      </w:r>
    </w:p>
    <w:p w:rsidR="00185647" w:rsidRDefault="00185647" w:rsidP="0027547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оптимизации и упрощения порядка оформления и прохождения документов при приеме юридических лиц и (или) индивидуальных предпринимателей в НП «БалтЭнергоЭффект» и выдаче свидетельств о членстве, а также при прекращении членства в Партнерстве были подготовлены изменения в Порядок приема в члены и прекращения членства в Некоммерческом партнерстве «Балтийское объединение специализированных подрядчиков в области энергетического о</w:t>
      </w:r>
      <w:r w:rsidR="009245BD">
        <w:rPr>
          <w:rFonts w:ascii="Times New Roman" w:hAnsi="Times New Roman"/>
          <w:sz w:val="24"/>
          <w:szCs w:val="24"/>
        </w:rPr>
        <w:t>бследования «БалтЭнергоЭффект».</w:t>
      </w:r>
    </w:p>
    <w:p w:rsidR="00185647" w:rsidRDefault="00185647" w:rsidP="0027547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 и направлен в Министерство юстиции Российской Федерации отчет о деятельности некоммерческой организации в 2012 году.</w:t>
      </w:r>
    </w:p>
    <w:p w:rsidR="00185647" w:rsidRDefault="00185647" w:rsidP="0027547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повседневной практике юридический отдел осуществляет:</w:t>
      </w:r>
    </w:p>
    <w:p w:rsidR="00185647" w:rsidRDefault="00185647" w:rsidP="001856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ответов на обращения, поступающие в адрес Партнерства, от членов саморегулируемой организации, государственных органов, учреждений и иных организаций</w:t>
      </w:r>
      <w:r w:rsidR="00411D3D">
        <w:rPr>
          <w:rFonts w:ascii="Times New Roman" w:hAnsi="Times New Roman"/>
          <w:sz w:val="24"/>
          <w:szCs w:val="24"/>
        </w:rPr>
        <w:t>;</w:t>
      </w:r>
    </w:p>
    <w:p w:rsidR="00411D3D" w:rsidRDefault="00411D3D" w:rsidP="001856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правовую экспертизу хозяйственных договоров и соглашений, заключаемых Партнерством;</w:t>
      </w:r>
    </w:p>
    <w:p w:rsidR="00411D3D" w:rsidRDefault="00411D3D" w:rsidP="001856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судебную работу по взысканию задолженности по уплате членских взносов;</w:t>
      </w:r>
    </w:p>
    <w:p w:rsidR="00411D3D" w:rsidRDefault="00411D3D" w:rsidP="001856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аналитическую работу по отслеживанию, анализу, а также подготовке замечаний и предложений к проектам нормативных правовых актов, находящихся в стадии разработки;</w:t>
      </w:r>
    </w:p>
    <w:p w:rsidR="00411D3D" w:rsidRDefault="00411D3D" w:rsidP="001856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правовую поддержку и сопровождение деятельности структурных подразделений Партнерства, в том числе:</w:t>
      </w:r>
    </w:p>
    <w:p w:rsidR="00411D3D" w:rsidRDefault="00411D3D" w:rsidP="00411D3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Бухгалтерии по вопросам налогового учета  и открытия счетов в банках;</w:t>
      </w:r>
    </w:p>
    <w:p w:rsidR="00411D3D" w:rsidRDefault="00411D3D" w:rsidP="00411D3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Департамент</w:t>
      </w:r>
      <w:r w:rsidR="00032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экспертно-методической работе по вопросам приема в члены Партнерства, выдачи свидетельств о членстве, а также прекращения членства в саморегулируемой организации;</w:t>
      </w:r>
    </w:p>
    <w:p w:rsidR="00411D3D" w:rsidRDefault="00411D3D" w:rsidP="00411D3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</w:t>
      </w:r>
      <w:r w:rsidR="00032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информатизации и организации ведения реестра по вопросам заполнения свидетельства о членстве и ведения реестра членов Партнерства;</w:t>
      </w:r>
    </w:p>
    <w:p w:rsidR="00411D3D" w:rsidRDefault="00411D3D" w:rsidP="00411D3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</w:t>
      </w:r>
      <w:r w:rsidR="000325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отдел</w:t>
      </w:r>
      <w:r w:rsidR="00032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вопросам согласования протоколов Совета Партнерства.</w:t>
      </w:r>
    </w:p>
    <w:p w:rsidR="00D30D5B" w:rsidRDefault="00D30D5B" w:rsidP="00411D3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547E" w:rsidRDefault="0027547E" w:rsidP="00275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по экспертно-методической работе</w:t>
      </w: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по экспертно-методической работе осуществляет организацию приема от юридических и физических лиц, индивидуальных предпринимателей, осуществляющих деятельность в области энергетического обследования, заявлений о принятии в члены СРО, о выдаче свидетельств о членстве в саморегулируемой организации, а также выполняет разработку требований и  методических рекомендаций по вопросам, связанным с приемом в члены СРО.</w:t>
      </w:r>
    </w:p>
    <w:p w:rsidR="0027547E" w:rsidRPr="00470ED3" w:rsidRDefault="0027547E" w:rsidP="0027547E">
      <w:pPr>
        <w:pStyle w:val="a4"/>
        <w:spacing w:before="0" w:beforeAutospacing="0" w:after="0" w:afterAutospacing="0"/>
        <w:ind w:firstLine="567"/>
        <w:jc w:val="both"/>
      </w:pPr>
      <w:r w:rsidRPr="00470ED3">
        <w:t>В 201</w:t>
      </w:r>
      <w:r w:rsidR="00686A7B">
        <w:t>3</w:t>
      </w:r>
      <w:r w:rsidRPr="00470ED3">
        <w:t xml:space="preserve"> году сотрудниками Департамента по Экспертно-методической работе Партнерства принято и направлено на рассмотрение Совета </w:t>
      </w:r>
      <w:r w:rsidR="00D226AA">
        <w:t>1</w:t>
      </w:r>
      <w:r w:rsidR="003D1C19">
        <w:t>3</w:t>
      </w:r>
      <w:r w:rsidR="00D226AA">
        <w:t xml:space="preserve"> </w:t>
      </w:r>
      <w:r w:rsidRPr="00470ED3">
        <w:t>заявлени</w:t>
      </w:r>
      <w:r w:rsidR="009C26FD">
        <w:t>й</w:t>
      </w:r>
      <w:r w:rsidRPr="00470ED3">
        <w:t xml:space="preserve"> о приеме в члены Партнерства. На основании решений Совета в состав Партнерства принято </w:t>
      </w:r>
      <w:r w:rsidR="00D226AA">
        <w:t>1</w:t>
      </w:r>
      <w:r w:rsidR="003D1C19">
        <w:t>2</w:t>
      </w:r>
      <w:r w:rsidRPr="00470ED3">
        <w:t xml:space="preserve"> организаци</w:t>
      </w:r>
      <w:r w:rsidR="009C26FD">
        <w:t>й</w:t>
      </w:r>
      <w:r w:rsidRPr="00470ED3">
        <w:t>, из них из Санкт-Петербурга и Ленинградской области –</w:t>
      </w:r>
      <w:r w:rsidR="00D226AA">
        <w:t xml:space="preserve"> </w:t>
      </w:r>
      <w:r w:rsidR="003D1C19" w:rsidRPr="00D30D5B">
        <w:t>5</w:t>
      </w:r>
      <w:r w:rsidRPr="00470ED3">
        <w:t xml:space="preserve"> член</w:t>
      </w:r>
      <w:r w:rsidR="003D1C19">
        <w:t>ов</w:t>
      </w:r>
      <w:r w:rsidRPr="00470ED3">
        <w:t xml:space="preserve"> (4</w:t>
      </w:r>
      <w:r w:rsidR="003D1C19">
        <w:t xml:space="preserve">1,7 </w:t>
      </w:r>
      <w:r w:rsidRPr="00470ED3">
        <w:t>% от общей численности принятых в 201</w:t>
      </w:r>
      <w:r w:rsidR="00686A7B">
        <w:t>3</w:t>
      </w:r>
      <w:r w:rsidRPr="00470ED3">
        <w:t xml:space="preserve"> году членов); из других субъектов Российской Федерации – </w:t>
      </w:r>
      <w:r w:rsidR="003D1C19" w:rsidRPr="00D30D5B">
        <w:t>7</w:t>
      </w:r>
      <w:r w:rsidRPr="00470ED3">
        <w:t xml:space="preserve"> член</w:t>
      </w:r>
      <w:r w:rsidR="00D226AA">
        <w:t>ов</w:t>
      </w:r>
      <w:r w:rsidRPr="00470ED3">
        <w:t xml:space="preserve"> (</w:t>
      </w:r>
      <w:r w:rsidR="003D1C19">
        <w:t xml:space="preserve">58,3 </w:t>
      </w:r>
      <w:r w:rsidRPr="00470ED3">
        <w:t xml:space="preserve">%). </w:t>
      </w:r>
    </w:p>
    <w:p w:rsidR="00A63652" w:rsidRDefault="00B35A00" w:rsidP="0027547E">
      <w:pPr>
        <w:pStyle w:val="a4"/>
        <w:spacing w:before="0" w:beforeAutospacing="0" w:after="0" w:afterAutospacing="0"/>
        <w:ind w:firstLine="567"/>
        <w:jc w:val="both"/>
      </w:pPr>
      <w:r>
        <w:t xml:space="preserve">В 2013 году членство 36 организаций было прекращено по причинам: </w:t>
      </w:r>
      <w:r w:rsidR="0027547E" w:rsidRPr="00470ED3">
        <w:t>неоплаты взносов в компенсационный фонд</w:t>
      </w:r>
      <w:r>
        <w:t xml:space="preserve">, </w:t>
      </w:r>
      <w:r w:rsidR="00A63652">
        <w:t>неоплаты членских взносов</w:t>
      </w:r>
      <w:r w:rsidR="00CB5E57">
        <w:t>, а также добровольного выхода из  состава членов Партнерства.</w:t>
      </w:r>
      <w:r w:rsidR="00A63652">
        <w:t xml:space="preserve"> </w:t>
      </w:r>
    </w:p>
    <w:p w:rsidR="00A63652" w:rsidRDefault="00A63652" w:rsidP="0027547E">
      <w:pPr>
        <w:pStyle w:val="a4"/>
        <w:spacing w:before="0" w:beforeAutospacing="0" w:after="0" w:afterAutospacing="0"/>
        <w:ind w:firstLine="567"/>
        <w:jc w:val="both"/>
      </w:pPr>
      <w:r>
        <w:t>Необходимо</w:t>
      </w:r>
      <w:r w:rsidR="00E91A34">
        <w:t xml:space="preserve"> также учесть, что срок</w:t>
      </w:r>
      <w:r>
        <w:t xml:space="preserve"> обязательного энергетиче</w:t>
      </w:r>
      <w:r w:rsidR="00E91A34">
        <w:t>ского обследования истек 31 декабря 2012 года, и активность заказчиков обследования резко спала.</w:t>
      </w:r>
    </w:p>
    <w:p w:rsidR="009E46CF" w:rsidRDefault="009E46CF" w:rsidP="0027547E">
      <w:pPr>
        <w:pStyle w:val="a4"/>
        <w:spacing w:before="0" w:beforeAutospacing="0" w:after="0" w:afterAutospacing="0"/>
        <w:ind w:firstLine="567"/>
        <w:jc w:val="both"/>
      </w:pPr>
    </w:p>
    <w:p w:rsidR="009C26FD" w:rsidRDefault="009C26FD" w:rsidP="0027547E">
      <w:pPr>
        <w:pStyle w:val="a4"/>
        <w:spacing w:before="0" w:beforeAutospacing="0" w:after="0" w:afterAutospacing="0"/>
        <w:ind w:firstLine="567"/>
        <w:jc w:val="both"/>
      </w:pPr>
      <w:r>
        <w:rPr>
          <w:noProof/>
        </w:rPr>
        <w:drawing>
          <wp:inline distT="0" distB="0" distL="0" distR="0">
            <wp:extent cx="5747657" cy="2843684"/>
            <wp:effectExtent l="19050" t="0" r="24493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C19" w:rsidRDefault="003D1C19" w:rsidP="0027547E">
      <w:pPr>
        <w:pStyle w:val="a4"/>
        <w:spacing w:before="0" w:beforeAutospacing="0" w:after="0" w:afterAutospacing="0"/>
        <w:ind w:firstLine="567"/>
        <w:jc w:val="both"/>
      </w:pPr>
    </w:p>
    <w:p w:rsidR="0027547E" w:rsidRDefault="0027547E" w:rsidP="0027547E">
      <w:pPr>
        <w:pStyle w:val="a4"/>
        <w:spacing w:before="0" w:beforeAutospacing="0" w:after="0" w:afterAutospacing="0"/>
        <w:ind w:firstLine="567"/>
        <w:jc w:val="both"/>
      </w:pPr>
      <w:r>
        <w:t xml:space="preserve">На сегодняшний день в трех субъектах Российской Федерации действуют  обособленные подразделения НП «БалтЭнергоЭффект» - территориальные управления,  а именно: </w:t>
      </w:r>
    </w:p>
    <w:tbl>
      <w:tblPr>
        <w:tblW w:w="9606" w:type="dxa"/>
        <w:tblInd w:w="108" w:type="dxa"/>
        <w:tblLook w:val="04A0"/>
      </w:tblPr>
      <w:tblGrid>
        <w:gridCol w:w="9606"/>
      </w:tblGrid>
      <w:tr w:rsidR="0027547E" w:rsidTr="00D30D5B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27547E" w:rsidRDefault="0027547E" w:rsidP="00E665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Калининградской области.</w:t>
            </w:r>
          </w:p>
        </w:tc>
      </w:tr>
      <w:tr w:rsidR="0027547E" w:rsidTr="00D30D5B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27547E" w:rsidRDefault="0027547E" w:rsidP="00E665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Иркутской области, Республике Бурятия и Республике Саха (Якутия).</w:t>
            </w:r>
          </w:p>
        </w:tc>
      </w:tr>
      <w:tr w:rsidR="0027547E" w:rsidTr="00D30D5B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27547E" w:rsidRDefault="0027547E" w:rsidP="00E665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Югу России.</w:t>
            </w:r>
          </w:p>
          <w:p w:rsidR="009C26FD" w:rsidRDefault="009C26FD" w:rsidP="009C2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представители Партнерства есть в Псковской области и в Республике Карелия.</w:t>
            </w:r>
          </w:p>
          <w:p w:rsidR="00D30D5B" w:rsidRDefault="00D30D5B" w:rsidP="009C2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47E" w:rsidRDefault="0027547E" w:rsidP="00E6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0" cy="2512060"/>
                  <wp:effectExtent l="19050" t="0" r="25400" b="2540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7547E" w:rsidRDefault="0027547E" w:rsidP="0027547E">
      <w:pPr>
        <w:pStyle w:val="a4"/>
        <w:spacing w:before="0" w:beforeAutospacing="0" w:after="0" w:afterAutospacing="0"/>
        <w:ind w:firstLine="567"/>
        <w:jc w:val="both"/>
      </w:pPr>
    </w:p>
    <w:p w:rsidR="0027547E" w:rsidRDefault="009C70D3" w:rsidP="0027547E">
      <w:pPr>
        <w:pStyle w:val="a4"/>
        <w:spacing w:before="0" w:beforeAutospacing="0" w:after="0" w:afterAutospacing="0"/>
        <w:ind w:firstLine="567"/>
        <w:jc w:val="both"/>
      </w:pPr>
      <w:r w:rsidRPr="009C70D3">
        <w:t xml:space="preserve">В общей сложности в составе </w:t>
      </w:r>
      <w:r w:rsidR="0027547E" w:rsidRPr="009C70D3">
        <w:t xml:space="preserve">территориальных управлений </w:t>
      </w:r>
      <w:r w:rsidRPr="009C70D3">
        <w:t xml:space="preserve">состоит </w:t>
      </w:r>
      <w:r w:rsidR="0027547E" w:rsidRPr="009C70D3">
        <w:t xml:space="preserve"> </w:t>
      </w:r>
      <w:r w:rsidRPr="00921715">
        <w:t>3</w:t>
      </w:r>
      <w:r w:rsidR="005020FE" w:rsidRPr="00921715">
        <w:t>1</w:t>
      </w:r>
      <w:r w:rsidR="0027547E" w:rsidRPr="009C70D3">
        <w:t xml:space="preserve"> организаци</w:t>
      </w:r>
      <w:r w:rsidR="005020FE">
        <w:t>я</w:t>
      </w:r>
      <w:r w:rsidRPr="009C70D3">
        <w:t xml:space="preserve"> - </w:t>
      </w:r>
      <w:r w:rsidR="0027547E" w:rsidRPr="009C70D3">
        <w:t xml:space="preserve"> </w:t>
      </w:r>
      <w:r w:rsidRPr="009C70D3">
        <w:t>член</w:t>
      </w:r>
      <w:r w:rsidR="005020FE">
        <w:t>ы</w:t>
      </w:r>
      <w:r w:rsidRPr="009C70D3">
        <w:t xml:space="preserve"> НП «БалтЭнергоЭффект».</w:t>
      </w:r>
    </w:p>
    <w:p w:rsidR="00233446" w:rsidRDefault="00233446" w:rsidP="0027547E">
      <w:pPr>
        <w:pStyle w:val="a4"/>
        <w:spacing w:before="0" w:beforeAutospacing="0" w:after="0" w:afterAutospacing="0"/>
        <w:ind w:firstLine="567"/>
        <w:jc w:val="both"/>
      </w:pPr>
      <w:r>
        <w:t>Основным направлением в деятельности Департамента по экспертно-методической работе в 2013 году было обеспечение регистрации энергетических паспортов и их электронная отправка в Минэнерго России. Переход на электронный документооборот был определен письмом заместителя министра энергетики Инюцына А.Ю. от 23.01.2013, что значительно ускорило оправку копий энергетических паспортов, их проверку в более сжатые сроки и в случае получения замечаний – скорейшее устранение недостатков.</w:t>
      </w:r>
    </w:p>
    <w:p w:rsidR="00233446" w:rsidRDefault="00233446" w:rsidP="0027547E">
      <w:pPr>
        <w:pStyle w:val="a4"/>
        <w:spacing w:before="0" w:beforeAutospacing="0" w:after="0" w:afterAutospacing="0"/>
        <w:ind w:firstLine="567"/>
        <w:jc w:val="both"/>
      </w:pPr>
      <w:r>
        <w:t>Всего в СРО прошли регистрацию более 1 500 энергетических паспортов, из них более 350 прошли проверку и получили учетный номер в Минэнерго России.</w:t>
      </w:r>
    </w:p>
    <w:p w:rsidR="00233446" w:rsidRDefault="003D2162" w:rsidP="0027547E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Ускорение процесса проверки копий энергетических паспортов в Минэнерго России прослеживается по данным </w:t>
      </w:r>
      <w:r w:rsidR="00921715">
        <w:t>об</w:t>
      </w:r>
      <w:r>
        <w:t xml:space="preserve"> их регистрации.</w:t>
      </w:r>
    </w:p>
    <w:p w:rsidR="003F7047" w:rsidRDefault="003F7047" w:rsidP="005F02C1">
      <w:pPr>
        <w:pStyle w:val="a4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D2162" w:rsidRPr="003C5C91" w:rsidRDefault="003D2162" w:rsidP="003C5C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5C91">
        <w:rPr>
          <w:rFonts w:ascii="Times New Roman" w:hAnsi="Times New Roman"/>
          <w:b/>
          <w:sz w:val="24"/>
          <w:szCs w:val="24"/>
        </w:rPr>
        <w:t>Регистрация копий энергетических паспортов</w:t>
      </w:r>
      <w:r w:rsidR="003C5C91" w:rsidRPr="003C5C91">
        <w:rPr>
          <w:rFonts w:ascii="Times New Roman" w:hAnsi="Times New Roman"/>
          <w:b/>
          <w:sz w:val="24"/>
          <w:szCs w:val="24"/>
        </w:rPr>
        <w:t xml:space="preserve"> </w:t>
      </w:r>
      <w:r w:rsidRPr="003C5C91">
        <w:rPr>
          <w:rFonts w:ascii="Times New Roman" w:hAnsi="Times New Roman"/>
          <w:b/>
          <w:sz w:val="24"/>
          <w:szCs w:val="24"/>
        </w:rPr>
        <w:t>в Министерстве энергетики Р</w:t>
      </w:r>
      <w:r w:rsidR="003C5C91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3C5C91">
        <w:rPr>
          <w:rFonts w:ascii="Times New Roman" w:hAnsi="Times New Roman"/>
          <w:b/>
          <w:sz w:val="24"/>
          <w:szCs w:val="24"/>
        </w:rPr>
        <w:t>Ф</w:t>
      </w:r>
      <w:r w:rsidR="003C5C91">
        <w:rPr>
          <w:rFonts w:ascii="Times New Roman" w:hAnsi="Times New Roman"/>
          <w:b/>
          <w:sz w:val="24"/>
          <w:szCs w:val="24"/>
        </w:rPr>
        <w:t>едерации</w:t>
      </w:r>
    </w:p>
    <w:p w:rsidR="003C5C91" w:rsidRDefault="003C5C91" w:rsidP="005F02C1">
      <w:pPr>
        <w:pStyle w:val="a4"/>
        <w:spacing w:before="0" w:beforeAutospacing="0" w:after="120" w:afterAutospacing="0"/>
        <w:ind w:firstLine="567"/>
        <w:jc w:val="center"/>
        <w:rPr>
          <w:b/>
          <w:sz w:val="32"/>
          <w:szCs w:val="32"/>
        </w:rPr>
      </w:pPr>
    </w:p>
    <w:p w:rsidR="003D2162" w:rsidRPr="003D2162" w:rsidRDefault="003D2162" w:rsidP="003D2162">
      <w:pPr>
        <w:pStyle w:val="a4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5C91" w:rsidRDefault="003C5C91" w:rsidP="005F02C1">
      <w:pPr>
        <w:pStyle w:val="a4"/>
        <w:spacing w:before="120" w:beforeAutospacing="0" w:after="0" w:afterAutospacing="0"/>
        <w:ind w:firstLine="567"/>
        <w:jc w:val="both"/>
      </w:pPr>
    </w:p>
    <w:p w:rsidR="005F02C1" w:rsidRDefault="00CE343F" w:rsidP="005F02C1">
      <w:pPr>
        <w:pStyle w:val="a4"/>
        <w:spacing w:before="120" w:beforeAutospacing="0" w:after="0" w:afterAutospacing="0"/>
        <w:ind w:firstLine="567"/>
        <w:jc w:val="both"/>
      </w:pPr>
      <w:r w:rsidRPr="005F02C1">
        <w:t>Всего в Минэнерго России прошли проверку и регистрацию 354 энергетических паспорта, направленных от НП «БалтЭнергоЭффект».</w:t>
      </w:r>
    </w:p>
    <w:p w:rsidR="0027547E" w:rsidRDefault="005F02C1" w:rsidP="005F02C1">
      <w:pPr>
        <w:pStyle w:val="a4"/>
        <w:spacing w:before="0" w:beforeAutospacing="0" w:after="0" w:afterAutospacing="0"/>
        <w:rPr>
          <w:b/>
        </w:rPr>
      </w:pPr>
      <w:r>
        <w:br w:type="column"/>
      </w:r>
      <w:r w:rsidR="00610C1A">
        <w:rPr>
          <w:b/>
        </w:rPr>
        <w:lastRenderedPageBreak/>
        <w:t>От</w:t>
      </w:r>
      <w:r w:rsidR="0027547E">
        <w:rPr>
          <w:b/>
        </w:rPr>
        <w:t>дел информатизации и организации ведения реестра (ОИ и ОВР)</w:t>
      </w:r>
    </w:p>
    <w:p w:rsidR="00233446" w:rsidRDefault="00233446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343F" w:rsidRDefault="00CE343F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Самой главой задачей отдела информатизации и ведения реестра в 2013 году являлась: переход на электронный документооборот с Минэнерго России, получение электронной цифровой подписи и обеспечение бесперебойной отправки копий энергопаспортов в электронном виде. Эта задача была успешно выполнена.</w:t>
      </w:r>
    </w:p>
    <w:p w:rsidR="0027547E" w:rsidRDefault="00CE343F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 </w:t>
      </w:r>
      <w:r w:rsidR="0027547E">
        <w:rPr>
          <w:rFonts w:ascii="Times New Roman" w:hAnsi="Times New Roman"/>
          <w:sz w:val="24"/>
          <w:szCs w:val="24"/>
        </w:rPr>
        <w:t>компетенцию отдела входят:</w:t>
      </w:r>
    </w:p>
    <w:p w:rsidR="0027547E" w:rsidRDefault="0027547E" w:rsidP="0027547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функционирования комплекса технических и программных средств автоматизации деятельности Партнерства; </w:t>
      </w:r>
    </w:p>
    <w:p w:rsidR="0027547E" w:rsidRDefault="0027547E" w:rsidP="0027547E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централизованное ведение Реестра членов саморегулируемой организации, обеспечение доступа к информации о членах, обязательной к раскрытию в порядке и объеме, устанавливаемом в соответствии с законодательством РФ, а также выполнение мероприятий, предусмотренных законодательством  для обеспечения конфиденциальности;</w:t>
      </w:r>
    </w:p>
    <w:p w:rsidR="0027547E" w:rsidRDefault="0027547E" w:rsidP="0027547E">
      <w:pPr>
        <w:pStyle w:val="a5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своевременное уведомление федерального органа исполнительной власти (Минэнерго РФ) об изменении в уставных и других внутренних документах Партнерства, а также об изменении численности членов; </w:t>
      </w:r>
    </w:p>
    <w:p w:rsidR="0027547E" w:rsidRDefault="0027547E" w:rsidP="0027547E">
      <w:pPr>
        <w:pStyle w:val="a5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направления в федеральный орган исполнительной власти (Минэнерго РФ) энергетических паспортов;</w:t>
      </w:r>
    </w:p>
    <w:p w:rsidR="0027547E" w:rsidRDefault="0027547E" w:rsidP="0027547E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информационной безопасности в области информационных систем и телекоммуникаций; </w:t>
      </w:r>
    </w:p>
    <w:p w:rsidR="0027547E" w:rsidRDefault="0027547E" w:rsidP="0027547E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содействия в поддержании и насыщении сайта Партнерства;</w:t>
      </w:r>
    </w:p>
    <w:p w:rsidR="0027547E" w:rsidRDefault="0027547E" w:rsidP="0027547E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проработка перспективных направлений развития в сфере компьютеризации.</w:t>
      </w:r>
    </w:p>
    <w:p w:rsidR="0027547E" w:rsidRDefault="0027547E" w:rsidP="002754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56428" w:rsidRDefault="00656428" w:rsidP="005A3C71">
      <w:pPr>
        <w:spacing w:after="0" w:line="240" w:lineRule="auto"/>
        <w:ind w:firstLine="567"/>
        <w:jc w:val="both"/>
      </w:pPr>
      <w:r w:rsidRPr="009C70D3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3</w:t>
      </w:r>
      <w:r w:rsidRPr="009C70D3">
        <w:rPr>
          <w:rFonts w:ascii="Times New Roman" w:hAnsi="Times New Roman"/>
          <w:sz w:val="24"/>
          <w:szCs w:val="24"/>
        </w:rPr>
        <w:t xml:space="preserve"> году в Реестр членов Партн</w:t>
      </w:r>
      <w:r>
        <w:rPr>
          <w:rFonts w:ascii="Times New Roman" w:hAnsi="Times New Roman"/>
          <w:sz w:val="24"/>
          <w:szCs w:val="24"/>
        </w:rPr>
        <w:t xml:space="preserve">ерства были введены данные по </w:t>
      </w:r>
      <w:r w:rsidRPr="00921715">
        <w:rPr>
          <w:rFonts w:ascii="Times New Roman" w:hAnsi="Times New Roman"/>
          <w:sz w:val="24"/>
          <w:szCs w:val="24"/>
        </w:rPr>
        <w:t>49</w:t>
      </w:r>
      <w:r w:rsidRPr="009C70D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ям, из них </w:t>
      </w:r>
      <w:r w:rsidRPr="00921715">
        <w:rPr>
          <w:rFonts w:ascii="Times New Roman" w:hAnsi="Times New Roman"/>
          <w:sz w:val="24"/>
          <w:szCs w:val="24"/>
        </w:rPr>
        <w:t>12</w:t>
      </w:r>
      <w:r w:rsidRPr="009C70D3">
        <w:rPr>
          <w:rFonts w:ascii="Times New Roman" w:hAnsi="Times New Roman"/>
          <w:sz w:val="24"/>
          <w:szCs w:val="24"/>
        </w:rPr>
        <w:t xml:space="preserve"> организаций были приняты</w:t>
      </w:r>
      <w:r>
        <w:rPr>
          <w:rFonts w:ascii="Times New Roman" w:hAnsi="Times New Roman"/>
          <w:sz w:val="24"/>
          <w:szCs w:val="24"/>
        </w:rPr>
        <w:t xml:space="preserve"> в члены НП «БалтЭнергоЭффект»,</w:t>
      </w:r>
      <w:r w:rsidR="005A3C71">
        <w:rPr>
          <w:rFonts w:ascii="Times New Roman" w:hAnsi="Times New Roman"/>
          <w:sz w:val="24"/>
          <w:szCs w:val="24"/>
        </w:rPr>
        <w:t xml:space="preserve"> </w:t>
      </w:r>
      <w:r w:rsidR="00921715">
        <w:rPr>
          <w:rFonts w:ascii="Times New Roman" w:hAnsi="Times New Roman"/>
          <w:sz w:val="24"/>
          <w:szCs w:val="24"/>
        </w:rPr>
        <w:t>1</w:t>
      </w:r>
      <w:r w:rsidRPr="009C70D3">
        <w:rPr>
          <w:rFonts w:ascii="Times New Roman" w:hAnsi="Times New Roman"/>
          <w:sz w:val="24"/>
          <w:szCs w:val="24"/>
        </w:rPr>
        <w:t xml:space="preserve"> организация сменила юридический адрес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171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="005A3C71">
        <w:rPr>
          <w:rFonts w:ascii="Times New Roman" w:hAnsi="Times New Roman"/>
          <w:sz w:val="24"/>
          <w:szCs w:val="24"/>
        </w:rPr>
        <w:t xml:space="preserve"> добровольно прекратили членство в Партнерстве</w:t>
      </w:r>
      <w:r>
        <w:rPr>
          <w:rFonts w:ascii="Times New Roman" w:hAnsi="Times New Roman"/>
          <w:sz w:val="24"/>
          <w:szCs w:val="24"/>
        </w:rPr>
        <w:t xml:space="preserve">, </w:t>
      </w:r>
      <w:r w:rsidR="00AE0051" w:rsidRPr="009217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организаций исключены </w:t>
      </w:r>
      <w:r w:rsidR="005A3C71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не</w:t>
      </w:r>
      <w:r w:rsidR="005A3C7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плат</w:t>
      </w:r>
      <w:r w:rsidR="005A3C71">
        <w:rPr>
          <w:rFonts w:ascii="Times New Roman" w:hAnsi="Times New Roman"/>
          <w:sz w:val="24"/>
          <w:szCs w:val="24"/>
        </w:rPr>
        <w:t>у членских взносов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AE0051" w:rsidRPr="009217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92171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исключен</w:t>
      </w:r>
      <w:r w:rsidR="009217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 членов</w:t>
      </w:r>
      <w:r w:rsidR="005A3C71">
        <w:rPr>
          <w:rFonts w:ascii="Times New Roman" w:hAnsi="Times New Roman"/>
          <w:sz w:val="24"/>
          <w:szCs w:val="24"/>
        </w:rPr>
        <w:t xml:space="preserve"> в связи с неоплатой взноса в компенсационный фонд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9489C" w:rsidRDefault="0039489C" w:rsidP="002754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489C" w:rsidRDefault="0039489C" w:rsidP="002754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489C" w:rsidRPr="0039489C" w:rsidRDefault="0039489C" w:rsidP="002754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47E" w:rsidRDefault="0027547E" w:rsidP="002754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32985" cy="2722880"/>
            <wp:effectExtent l="19050" t="0" r="24765" b="127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02C1" w:rsidRDefault="00E2328B" w:rsidP="0027547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27547E" w:rsidRPr="003F7047" w:rsidRDefault="005F02C1" w:rsidP="003F704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  <w:r w:rsidR="0027547E" w:rsidRPr="003F7047">
        <w:rPr>
          <w:rFonts w:ascii="Times New Roman" w:hAnsi="Times New Roman"/>
          <w:b/>
          <w:sz w:val="24"/>
          <w:szCs w:val="24"/>
        </w:rPr>
        <w:lastRenderedPageBreak/>
        <w:t>Региональный состав членов НП «БалтЭнергоЭффект»</w:t>
      </w: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5F75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18C">
        <w:rPr>
          <w:rFonts w:ascii="Times New Roman" w:hAnsi="Times New Roman"/>
          <w:sz w:val="24"/>
          <w:szCs w:val="24"/>
        </w:rPr>
        <w:t xml:space="preserve">В состав Партнерства входят </w:t>
      </w:r>
      <w:r w:rsidRPr="003C5C91">
        <w:rPr>
          <w:rFonts w:ascii="Times New Roman" w:hAnsi="Times New Roman"/>
          <w:sz w:val="24"/>
          <w:szCs w:val="24"/>
        </w:rPr>
        <w:t>1</w:t>
      </w:r>
      <w:r w:rsidR="007E2F17" w:rsidRPr="003C5C91">
        <w:rPr>
          <w:rFonts w:ascii="Times New Roman" w:hAnsi="Times New Roman"/>
          <w:sz w:val="24"/>
          <w:szCs w:val="24"/>
        </w:rPr>
        <w:t>07</w:t>
      </w:r>
      <w:r w:rsidRPr="00C6118C">
        <w:rPr>
          <w:rFonts w:ascii="Times New Roman" w:hAnsi="Times New Roman"/>
          <w:sz w:val="24"/>
          <w:szCs w:val="24"/>
        </w:rPr>
        <w:t xml:space="preserve">  компаний - представителей 2</w:t>
      </w:r>
      <w:r w:rsidR="00B55F75" w:rsidRPr="00C6118C">
        <w:rPr>
          <w:rFonts w:ascii="Times New Roman" w:hAnsi="Times New Roman"/>
          <w:sz w:val="24"/>
          <w:szCs w:val="24"/>
        </w:rPr>
        <w:t>1</w:t>
      </w:r>
      <w:r w:rsidRPr="00C6118C">
        <w:rPr>
          <w:rFonts w:ascii="Times New Roman" w:hAnsi="Times New Roman"/>
          <w:sz w:val="24"/>
          <w:szCs w:val="24"/>
        </w:rPr>
        <w:t xml:space="preserve"> субъект</w:t>
      </w:r>
      <w:r w:rsidR="003C5C91">
        <w:rPr>
          <w:rFonts w:ascii="Times New Roman" w:hAnsi="Times New Roman"/>
          <w:sz w:val="24"/>
          <w:szCs w:val="24"/>
        </w:rPr>
        <w:t>а</w:t>
      </w:r>
      <w:r w:rsidRPr="00C6118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55F75" w:rsidRPr="00C6118C">
        <w:rPr>
          <w:rFonts w:ascii="Times New Roman" w:hAnsi="Times New Roman"/>
          <w:sz w:val="24"/>
          <w:szCs w:val="24"/>
        </w:rPr>
        <w:t xml:space="preserve"> и </w:t>
      </w:r>
      <w:r w:rsidR="007E2F17">
        <w:rPr>
          <w:rFonts w:ascii="Times New Roman" w:hAnsi="Times New Roman"/>
          <w:sz w:val="24"/>
          <w:szCs w:val="24"/>
        </w:rPr>
        <w:t>1</w:t>
      </w:r>
      <w:r w:rsidR="00B55F75" w:rsidRPr="00C6118C">
        <w:rPr>
          <w:rFonts w:ascii="Times New Roman" w:hAnsi="Times New Roman"/>
          <w:sz w:val="24"/>
          <w:szCs w:val="24"/>
        </w:rPr>
        <w:t xml:space="preserve"> организаци</w:t>
      </w:r>
      <w:r w:rsidR="00996B89">
        <w:rPr>
          <w:rFonts w:ascii="Times New Roman" w:hAnsi="Times New Roman"/>
          <w:sz w:val="24"/>
          <w:szCs w:val="24"/>
        </w:rPr>
        <w:t>и</w:t>
      </w:r>
      <w:r w:rsidR="00B55F75" w:rsidRPr="00C6118C">
        <w:rPr>
          <w:rFonts w:ascii="Times New Roman" w:hAnsi="Times New Roman"/>
          <w:sz w:val="24"/>
          <w:szCs w:val="24"/>
        </w:rPr>
        <w:t xml:space="preserve"> из </w:t>
      </w:r>
      <w:r w:rsidR="00FC77C2" w:rsidRPr="00FC77C2">
        <w:rPr>
          <w:rFonts w:ascii="Times New Roman" w:hAnsi="Times New Roman"/>
          <w:sz w:val="24"/>
          <w:szCs w:val="24"/>
        </w:rPr>
        <w:t>Респ</w:t>
      </w:r>
      <w:r w:rsidR="00FC77C2">
        <w:rPr>
          <w:rFonts w:ascii="Times New Roman" w:hAnsi="Times New Roman"/>
          <w:sz w:val="24"/>
          <w:szCs w:val="24"/>
        </w:rPr>
        <w:t>у</w:t>
      </w:r>
      <w:r w:rsidR="00FC77C2" w:rsidRPr="00FC77C2">
        <w:rPr>
          <w:rFonts w:ascii="Times New Roman" w:hAnsi="Times New Roman"/>
          <w:sz w:val="24"/>
          <w:szCs w:val="24"/>
        </w:rPr>
        <w:t>блики Белар</w:t>
      </w:r>
      <w:r w:rsidR="00FC77C2">
        <w:rPr>
          <w:rFonts w:ascii="Times New Roman" w:hAnsi="Times New Roman"/>
          <w:sz w:val="24"/>
          <w:szCs w:val="24"/>
        </w:rPr>
        <w:t>у</w:t>
      </w:r>
      <w:r w:rsidR="00FC77C2" w:rsidRPr="00FC77C2">
        <w:rPr>
          <w:rFonts w:ascii="Times New Roman" w:hAnsi="Times New Roman"/>
          <w:sz w:val="24"/>
          <w:szCs w:val="24"/>
        </w:rPr>
        <w:t>сь</w:t>
      </w:r>
      <w:r w:rsidR="00B55F75" w:rsidRPr="00C6118C">
        <w:rPr>
          <w:rFonts w:ascii="Times New Roman" w:hAnsi="Times New Roman"/>
          <w:sz w:val="24"/>
          <w:szCs w:val="24"/>
        </w:rPr>
        <w:t xml:space="preserve">. </w:t>
      </w:r>
      <w:r w:rsidRPr="00C6118C">
        <w:rPr>
          <w:rFonts w:ascii="Times New Roman" w:hAnsi="Times New Roman"/>
          <w:sz w:val="24"/>
          <w:szCs w:val="24"/>
        </w:rPr>
        <w:t>Наибольшее представительство имеют организации из Санкт-Петербурга (</w:t>
      </w:r>
      <w:r w:rsidR="007E2F17">
        <w:rPr>
          <w:rFonts w:ascii="Times New Roman" w:hAnsi="Times New Roman"/>
          <w:sz w:val="24"/>
          <w:szCs w:val="24"/>
        </w:rPr>
        <w:t>41 организация</w:t>
      </w:r>
      <w:r w:rsidRPr="00C6118C">
        <w:rPr>
          <w:rFonts w:ascii="Times New Roman" w:hAnsi="Times New Roman"/>
          <w:sz w:val="24"/>
          <w:szCs w:val="24"/>
        </w:rPr>
        <w:t xml:space="preserve">), </w:t>
      </w:r>
      <w:r w:rsidR="00B55F75" w:rsidRPr="00C6118C">
        <w:rPr>
          <w:rFonts w:ascii="Times New Roman" w:hAnsi="Times New Roman"/>
          <w:sz w:val="24"/>
          <w:szCs w:val="24"/>
        </w:rPr>
        <w:t>Ростовской области (13</w:t>
      </w:r>
      <w:r w:rsidR="00C6118C">
        <w:rPr>
          <w:rFonts w:ascii="Times New Roman" w:hAnsi="Times New Roman"/>
          <w:sz w:val="24"/>
          <w:szCs w:val="24"/>
        </w:rPr>
        <w:t xml:space="preserve"> организаций</w:t>
      </w:r>
      <w:r w:rsidR="00B55F75" w:rsidRPr="00C6118C">
        <w:rPr>
          <w:rFonts w:ascii="Times New Roman" w:hAnsi="Times New Roman"/>
          <w:sz w:val="24"/>
          <w:szCs w:val="24"/>
        </w:rPr>
        <w:t xml:space="preserve">), </w:t>
      </w:r>
      <w:r w:rsidR="007E2F17" w:rsidRPr="00C6118C">
        <w:rPr>
          <w:rFonts w:ascii="Times New Roman" w:hAnsi="Times New Roman"/>
          <w:sz w:val="24"/>
          <w:szCs w:val="24"/>
        </w:rPr>
        <w:t>Ставропольского края (</w:t>
      </w:r>
      <w:r w:rsidR="007E2F17">
        <w:rPr>
          <w:rFonts w:ascii="Times New Roman" w:hAnsi="Times New Roman"/>
          <w:sz w:val="24"/>
          <w:szCs w:val="24"/>
        </w:rPr>
        <w:t>7</w:t>
      </w:r>
      <w:r w:rsidR="007E2F17" w:rsidRPr="00C6118C">
        <w:rPr>
          <w:rFonts w:ascii="Times New Roman" w:hAnsi="Times New Roman"/>
          <w:sz w:val="24"/>
          <w:szCs w:val="24"/>
        </w:rPr>
        <w:t xml:space="preserve"> организаций)</w:t>
      </w:r>
      <w:r w:rsidR="007E2F17">
        <w:rPr>
          <w:rFonts w:ascii="Times New Roman" w:hAnsi="Times New Roman"/>
          <w:sz w:val="24"/>
          <w:szCs w:val="24"/>
        </w:rPr>
        <w:t xml:space="preserve">, </w:t>
      </w:r>
      <w:r w:rsidR="007E2F17" w:rsidRPr="00C6118C">
        <w:rPr>
          <w:rFonts w:ascii="Times New Roman" w:hAnsi="Times New Roman"/>
          <w:sz w:val="24"/>
          <w:szCs w:val="24"/>
        </w:rPr>
        <w:t>Ленинградской области (</w:t>
      </w:r>
      <w:r w:rsidR="007E2F17">
        <w:rPr>
          <w:rFonts w:ascii="Times New Roman" w:hAnsi="Times New Roman"/>
          <w:sz w:val="24"/>
          <w:szCs w:val="24"/>
        </w:rPr>
        <w:t>6</w:t>
      </w:r>
      <w:r w:rsidR="007E2F17" w:rsidRPr="00C6118C">
        <w:rPr>
          <w:rFonts w:ascii="Times New Roman" w:hAnsi="Times New Roman"/>
          <w:sz w:val="24"/>
          <w:szCs w:val="24"/>
        </w:rPr>
        <w:t xml:space="preserve"> организаций),</w:t>
      </w:r>
      <w:r w:rsidR="007E2F17">
        <w:rPr>
          <w:rFonts w:ascii="Times New Roman" w:hAnsi="Times New Roman"/>
          <w:sz w:val="24"/>
          <w:szCs w:val="24"/>
        </w:rPr>
        <w:t xml:space="preserve"> </w:t>
      </w:r>
      <w:r w:rsidR="00B55F75" w:rsidRPr="00C6118C">
        <w:rPr>
          <w:rFonts w:ascii="Times New Roman" w:hAnsi="Times New Roman"/>
          <w:sz w:val="24"/>
          <w:szCs w:val="24"/>
        </w:rPr>
        <w:t xml:space="preserve">Калининградской </w:t>
      </w:r>
      <w:r w:rsidR="007E2F17" w:rsidRPr="00C6118C">
        <w:rPr>
          <w:rFonts w:ascii="Times New Roman" w:hAnsi="Times New Roman"/>
          <w:sz w:val="24"/>
          <w:szCs w:val="24"/>
        </w:rPr>
        <w:t xml:space="preserve">и Псковской  </w:t>
      </w:r>
      <w:r w:rsidR="00B55F75" w:rsidRPr="00C6118C">
        <w:rPr>
          <w:rFonts w:ascii="Times New Roman" w:hAnsi="Times New Roman"/>
          <w:sz w:val="24"/>
          <w:szCs w:val="24"/>
        </w:rPr>
        <w:t>област</w:t>
      </w:r>
      <w:r w:rsidR="00996B89">
        <w:rPr>
          <w:rFonts w:ascii="Times New Roman" w:hAnsi="Times New Roman"/>
          <w:sz w:val="24"/>
          <w:szCs w:val="24"/>
        </w:rPr>
        <w:t>ей</w:t>
      </w:r>
      <w:r w:rsidR="00B55F75" w:rsidRPr="00C6118C">
        <w:rPr>
          <w:rFonts w:ascii="Times New Roman" w:hAnsi="Times New Roman"/>
          <w:sz w:val="24"/>
          <w:szCs w:val="24"/>
        </w:rPr>
        <w:t xml:space="preserve"> (</w:t>
      </w:r>
      <w:r w:rsidR="007E2F17">
        <w:rPr>
          <w:rFonts w:ascii="Times New Roman" w:hAnsi="Times New Roman"/>
          <w:sz w:val="24"/>
          <w:szCs w:val="24"/>
        </w:rPr>
        <w:t>по 5</w:t>
      </w:r>
      <w:r w:rsidR="00C6118C">
        <w:rPr>
          <w:rFonts w:ascii="Times New Roman" w:hAnsi="Times New Roman"/>
          <w:sz w:val="24"/>
          <w:szCs w:val="24"/>
        </w:rPr>
        <w:t xml:space="preserve"> организаций</w:t>
      </w:r>
      <w:r w:rsidR="00B55F75" w:rsidRPr="00C6118C">
        <w:rPr>
          <w:rFonts w:ascii="Times New Roman" w:hAnsi="Times New Roman"/>
          <w:sz w:val="24"/>
          <w:szCs w:val="24"/>
        </w:rPr>
        <w:t>),</w:t>
      </w:r>
      <w:r w:rsidR="007E2F17">
        <w:rPr>
          <w:rFonts w:ascii="Times New Roman" w:hAnsi="Times New Roman"/>
          <w:sz w:val="24"/>
          <w:szCs w:val="24"/>
        </w:rPr>
        <w:t xml:space="preserve"> </w:t>
      </w:r>
      <w:r w:rsidR="007E2F17" w:rsidRPr="00C6118C">
        <w:rPr>
          <w:rFonts w:ascii="Times New Roman" w:hAnsi="Times New Roman"/>
          <w:sz w:val="24"/>
          <w:szCs w:val="24"/>
        </w:rPr>
        <w:t>Архангельской</w:t>
      </w:r>
      <w:r w:rsidR="007E2F17">
        <w:rPr>
          <w:rFonts w:ascii="Times New Roman" w:hAnsi="Times New Roman"/>
          <w:sz w:val="24"/>
          <w:szCs w:val="24"/>
        </w:rPr>
        <w:t xml:space="preserve"> и </w:t>
      </w:r>
      <w:r w:rsidR="007E2F17" w:rsidRPr="00C6118C">
        <w:rPr>
          <w:rFonts w:ascii="Times New Roman" w:hAnsi="Times New Roman"/>
          <w:sz w:val="24"/>
          <w:szCs w:val="24"/>
        </w:rPr>
        <w:t xml:space="preserve"> </w:t>
      </w:r>
      <w:r w:rsidRPr="00C6118C">
        <w:rPr>
          <w:rFonts w:ascii="Times New Roman" w:hAnsi="Times New Roman"/>
          <w:sz w:val="24"/>
          <w:szCs w:val="24"/>
        </w:rPr>
        <w:t>Мурманской</w:t>
      </w:r>
      <w:r w:rsidR="00B55F75" w:rsidRPr="00C6118C">
        <w:rPr>
          <w:rFonts w:ascii="Times New Roman" w:hAnsi="Times New Roman"/>
          <w:sz w:val="24"/>
          <w:szCs w:val="24"/>
        </w:rPr>
        <w:t xml:space="preserve"> област</w:t>
      </w:r>
      <w:r w:rsidR="00996B89">
        <w:rPr>
          <w:rFonts w:ascii="Times New Roman" w:hAnsi="Times New Roman"/>
          <w:sz w:val="24"/>
          <w:szCs w:val="24"/>
        </w:rPr>
        <w:t>ей</w:t>
      </w:r>
      <w:r w:rsidR="00B55F75" w:rsidRPr="00C6118C">
        <w:rPr>
          <w:rFonts w:ascii="Times New Roman" w:hAnsi="Times New Roman"/>
          <w:sz w:val="24"/>
          <w:szCs w:val="24"/>
        </w:rPr>
        <w:t xml:space="preserve"> (по </w:t>
      </w:r>
      <w:r w:rsidR="007E2F17">
        <w:rPr>
          <w:rFonts w:ascii="Times New Roman" w:hAnsi="Times New Roman"/>
          <w:sz w:val="24"/>
          <w:szCs w:val="24"/>
        </w:rPr>
        <w:t>4</w:t>
      </w:r>
      <w:r w:rsidR="00B55F75" w:rsidRPr="00C6118C">
        <w:rPr>
          <w:rFonts w:ascii="Times New Roman" w:hAnsi="Times New Roman"/>
          <w:sz w:val="24"/>
          <w:szCs w:val="24"/>
        </w:rPr>
        <w:t xml:space="preserve"> организаци</w:t>
      </w:r>
      <w:r w:rsidR="007E2F17">
        <w:rPr>
          <w:rFonts w:ascii="Times New Roman" w:hAnsi="Times New Roman"/>
          <w:sz w:val="24"/>
          <w:szCs w:val="24"/>
        </w:rPr>
        <w:t>и), в других регионах – 22 организации.</w:t>
      </w:r>
    </w:p>
    <w:p w:rsidR="00E24A88" w:rsidRDefault="00E24A88" w:rsidP="002754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F75" w:rsidRDefault="00B55F75" w:rsidP="002754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47E" w:rsidRDefault="0027547E" w:rsidP="00E24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758084"/>
            <wp:effectExtent l="19050" t="0" r="1905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47E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C1A">
        <w:rPr>
          <w:rFonts w:ascii="Times New Roman" w:hAnsi="Times New Roman"/>
          <w:sz w:val="24"/>
          <w:szCs w:val="24"/>
        </w:rPr>
        <w:t>В 201</w:t>
      </w:r>
      <w:r w:rsidR="00F81FDE">
        <w:rPr>
          <w:rFonts w:ascii="Times New Roman" w:hAnsi="Times New Roman"/>
          <w:sz w:val="24"/>
          <w:szCs w:val="24"/>
        </w:rPr>
        <w:t>3</w:t>
      </w:r>
      <w:r w:rsidRPr="00610C1A">
        <w:rPr>
          <w:rFonts w:ascii="Times New Roman" w:hAnsi="Times New Roman"/>
          <w:sz w:val="24"/>
          <w:szCs w:val="24"/>
        </w:rPr>
        <w:t xml:space="preserve"> году членам Партнерства выдано </w:t>
      </w:r>
      <w:r w:rsidR="00135960">
        <w:rPr>
          <w:rFonts w:ascii="Times New Roman" w:hAnsi="Times New Roman"/>
          <w:sz w:val="24"/>
          <w:szCs w:val="24"/>
        </w:rPr>
        <w:t>12 с</w:t>
      </w:r>
      <w:r w:rsidRPr="00610C1A">
        <w:rPr>
          <w:rFonts w:ascii="Times New Roman" w:hAnsi="Times New Roman"/>
          <w:sz w:val="24"/>
          <w:szCs w:val="24"/>
        </w:rPr>
        <w:t>видетельств о членстве в СРО.</w:t>
      </w:r>
    </w:p>
    <w:p w:rsidR="00697468" w:rsidRDefault="00697468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7468" w:rsidRDefault="00697468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Бухгалтерия</w:t>
      </w:r>
    </w:p>
    <w:p w:rsidR="004D4D7C" w:rsidRDefault="004D4D7C" w:rsidP="004D4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задачи бухгалтерии входит учет поступающих доходов, в том числе членских и вступительных взносов, финансирование и учет финансирования расходной части в соответствии с утвержденной сметой, организация и ведение бухгалтерского и налогового учета в соответствии с требованиями законодательства РФ.</w:t>
      </w:r>
    </w:p>
    <w:p w:rsidR="004D4D7C" w:rsidRDefault="004D4D7C" w:rsidP="004D4D7C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бухгалтерского учета Партнерства являются: </w:t>
      </w:r>
    </w:p>
    <w:p w:rsidR="004D4D7C" w:rsidRDefault="004D4D7C" w:rsidP="004D4D7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формирование полной и достоверной информации о деятельности организац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имущественном положении, используемой внутренними и внешними пользователями бухгалтерской информации;</w:t>
      </w:r>
    </w:p>
    <w:p w:rsidR="004D4D7C" w:rsidRDefault="004D4D7C" w:rsidP="004D4D7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обеспечение информацией, необходимой для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результатов в соответствии с утвержденными нормами, нормативами и сметами;</w:t>
      </w:r>
    </w:p>
    <w:p w:rsidR="004D4D7C" w:rsidRDefault="004D4D7C" w:rsidP="004D4D7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предотвращение отрицательных результатов хозяйственной деятельности и </w:t>
      </w:r>
      <w:r>
        <w:rPr>
          <w:rFonts w:ascii="Times New Roman" w:hAnsi="Times New Roman"/>
          <w:sz w:val="24"/>
          <w:szCs w:val="24"/>
        </w:rPr>
        <w:lastRenderedPageBreak/>
        <w:t>выявление внутрихозяйственных резервов, обеспечение ее финансовой устойчивости.</w:t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ведет бухгалтерский учет активов, обязательств и хозяйственных операций способом двойной записи в соответствии с принятым Рабочим планом счетов бухгалтерского учета.</w:t>
      </w:r>
    </w:p>
    <w:p w:rsidR="004D4D7C" w:rsidRDefault="004D4D7C" w:rsidP="004D4D7C">
      <w:pPr>
        <w:pStyle w:val="aa"/>
        <w:ind w:firstLine="567"/>
        <w:rPr>
          <w:szCs w:val="24"/>
        </w:rPr>
      </w:pPr>
      <w:r>
        <w:rPr>
          <w:szCs w:val="24"/>
        </w:rPr>
        <w:t>Документирование хозяйственных операций и документооборот в Партнерстве осуществляется на основании нормативных документов. Все хозяйственные операции, проводимые партнерством, оформляются оправдательными документами, на основании которых ведется бухгалтерский учет.</w:t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Членские и вступительные взносы являются одними из основных источников формирования имущества и финансовой основы деятельности партнерства, направленной на достижение целей его создания в соответствии с Уставом Партнерства. </w:t>
      </w:r>
    </w:p>
    <w:p w:rsidR="004D4D7C" w:rsidRDefault="004D4D7C" w:rsidP="004D4D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поступления членских и вступительных взносов и задолженности          (за исключением выбывших организаций) по членским и вступительным взносам в 2013 году (в тыс. руб.)</w:t>
      </w:r>
    </w:p>
    <w:p w:rsidR="004D4D7C" w:rsidRDefault="004D4D7C" w:rsidP="004D4D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77535" cy="210693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4D7C" w:rsidRDefault="004D4D7C" w:rsidP="004D4D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диаграммы видно, что задолженность к концу 2013 года постепенно уменьшается, наибольшее поступление членских взносов приходится на начало года.</w:t>
      </w: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Диаграмма поступления членских и вступительных взносов в 2013 году и расходов за 2013 год (в тыс. руб.)</w:t>
      </w:r>
    </w:p>
    <w:p w:rsidR="004D4D7C" w:rsidRDefault="004D4D7C" w:rsidP="004D4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32780" cy="326009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Заметное высокое поступление доходов в январе и в начале 2013 года обусловлено  оплатой членских взносов за 2013 год. Организации, получившие рассрочку поквартально,  уплачивают квартальный взносы в январе, апреле, июле и октябре. </w:t>
      </w:r>
    </w:p>
    <w:p w:rsidR="004D4D7C" w:rsidRDefault="004D4D7C" w:rsidP="004D4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расходам Некоммерческого партнерства относятся: </w:t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труда – 26,97%;</w:t>
      </w: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Аренда – 2,67%;</w:t>
      </w: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Взносы в национальные объединения саморегулируемых организаций – 4,66%;</w:t>
      </w: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служебные командировки – 6,9%;</w:t>
      </w: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благотворительность – 2,59%;</w:t>
      </w: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приобретение материалов, оказания услуг, и выполнение работ – 41,01%;</w:t>
      </w: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Отчисления и налоги – 15,2%.</w:t>
      </w: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7025" cy="5430520"/>
            <wp:effectExtent l="19050" t="0" r="3175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6D4A" w:rsidRDefault="00FC6D4A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Компенсационный фонд НП «БалтЭнергоЭффект» формируется из средств участников Некоммерческого партнерства и служит для покрытия убытков, причиненных любым участником СРО в результате своей профессиональной деятельности. Компенсационный фонд является резервным фондом в случаях, если суммы страховых выплат оказывается не достаточно для покрытия официально признанной суммы возмещения.</w:t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Компенсационный фонд Партнерства формируется за счет взносов членов Партнерства.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каждого члена, установленного решением Совета Партнерства. </w:t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компенсационного фонда осуществляется в соответствии с «Инвестиционной декларацией компенсационного фонда» утвержденной решением совета Некоммерческого партнерства «БалтЭнергоЭффект». Инвестиционная декларация устанавливает требования к составу и структуре средств компенсационного фонда организации, размещаемых в целях их сохранения и прироста через управляющие компании. Размещение средств компенсационного фонда осуществляются через управляющие компании на основании договора доверительного управления средствами компенсационного фонда.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управляющими компаниями </w:t>
      </w:r>
      <w:r>
        <w:rPr>
          <w:rFonts w:ascii="Times New Roman" w:hAnsi="Times New Roman"/>
          <w:sz w:val="24"/>
          <w:szCs w:val="24"/>
        </w:rPr>
        <w:lastRenderedPageBreak/>
        <w:t>ограничений по размещению и инвестированию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федеральным законодательством и принятой Советом Партнерства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 Обо всех случаях нарушения требований, установленных законодательством и принятой Партнерством инвестиционной декларацией, к размещению средств компенсационного фонда специализированный депозитарий уведомляет Совет Партнерства. Партнерство заключает договор об оказании услуг специализированного депозитария только со специализированными депозитариями, отобранными по результатам конкурса, проведенного в порядке и в соответствии с правилами, установленными локальными актами Партнерства.</w:t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01.01.2013 фактический размер компенсационного фонда составил 1 890 тысяч рублей, а на 30.09.2013 – 1 990 тысяч рублей. Рост компенсационного фонда за 9 месяцев 2013 года составил 5%. Выплаты из компенсационного фонда за указанный период не производились.</w:t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94655" cy="3212465"/>
            <wp:effectExtent l="19050" t="0" r="1079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4D7C" w:rsidRDefault="004D4D7C" w:rsidP="004D4D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D7C" w:rsidRDefault="004D4D7C" w:rsidP="004D4D7C"/>
    <w:p w:rsidR="0027547E" w:rsidRDefault="00FC6D4A" w:rsidP="00FC6D4A">
      <w:pPr>
        <w:rPr>
          <w:rFonts w:ascii="Times New Roman" w:hAnsi="Times New Roman"/>
          <w:b/>
          <w:sz w:val="24"/>
          <w:szCs w:val="24"/>
        </w:rPr>
      </w:pPr>
      <w:r>
        <w:br w:type="column"/>
      </w:r>
      <w:r w:rsidR="0027547E">
        <w:rPr>
          <w:rFonts w:ascii="Times New Roman" w:hAnsi="Times New Roman"/>
          <w:b/>
          <w:sz w:val="24"/>
          <w:szCs w:val="24"/>
        </w:rPr>
        <w:lastRenderedPageBreak/>
        <w:t>Общий отдел</w:t>
      </w:r>
    </w:p>
    <w:p w:rsidR="0027547E" w:rsidRDefault="0027547E" w:rsidP="00275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47E" w:rsidRPr="0055164F" w:rsidRDefault="0027547E" w:rsidP="002754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>В 201</w:t>
      </w:r>
      <w:r w:rsidR="001A58C3">
        <w:rPr>
          <w:rFonts w:ascii="Times New Roman" w:hAnsi="Times New Roman"/>
          <w:sz w:val="24"/>
          <w:szCs w:val="24"/>
        </w:rPr>
        <w:t>3</w:t>
      </w:r>
      <w:r w:rsidRPr="0055164F">
        <w:rPr>
          <w:rFonts w:ascii="Times New Roman" w:hAnsi="Times New Roman"/>
          <w:sz w:val="24"/>
          <w:szCs w:val="24"/>
        </w:rPr>
        <w:t xml:space="preserve"> году Отделом решались следующие задачи:</w:t>
      </w:r>
    </w:p>
    <w:p w:rsidR="0027547E" w:rsidRPr="0055164F" w:rsidRDefault="0027547E" w:rsidP="0027547E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 xml:space="preserve"> организация протокольной деятельности в Партнерстве (</w:t>
      </w:r>
      <w:r w:rsidR="009245BD">
        <w:rPr>
          <w:rFonts w:ascii="Times New Roman" w:hAnsi="Times New Roman"/>
          <w:sz w:val="24"/>
          <w:szCs w:val="24"/>
        </w:rPr>
        <w:t>на 2</w:t>
      </w:r>
      <w:r w:rsidR="00725783">
        <w:rPr>
          <w:rFonts w:ascii="Times New Roman" w:hAnsi="Times New Roman"/>
          <w:sz w:val="24"/>
          <w:szCs w:val="24"/>
        </w:rPr>
        <w:t>9</w:t>
      </w:r>
      <w:r w:rsidR="009245BD">
        <w:rPr>
          <w:rFonts w:ascii="Times New Roman" w:hAnsi="Times New Roman"/>
          <w:sz w:val="24"/>
          <w:szCs w:val="24"/>
        </w:rPr>
        <w:t xml:space="preserve">.10.2013 </w:t>
      </w:r>
      <w:r w:rsidRPr="0055164F">
        <w:rPr>
          <w:rFonts w:ascii="Times New Roman" w:hAnsi="Times New Roman"/>
          <w:sz w:val="24"/>
          <w:szCs w:val="24"/>
        </w:rPr>
        <w:t>общее количе</w:t>
      </w:r>
      <w:r w:rsidR="0055164F" w:rsidRPr="0055164F">
        <w:rPr>
          <w:rFonts w:ascii="Times New Roman" w:hAnsi="Times New Roman"/>
          <w:sz w:val="24"/>
          <w:szCs w:val="24"/>
        </w:rPr>
        <w:t xml:space="preserve">ство оформленных протоколов – </w:t>
      </w:r>
      <w:r w:rsidR="005C553F">
        <w:rPr>
          <w:rFonts w:ascii="Times New Roman" w:hAnsi="Times New Roman"/>
          <w:sz w:val="24"/>
          <w:szCs w:val="24"/>
        </w:rPr>
        <w:t>3</w:t>
      </w:r>
      <w:r w:rsidR="009245BD">
        <w:rPr>
          <w:rFonts w:ascii="Times New Roman" w:hAnsi="Times New Roman"/>
          <w:sz w:val="24"/>
          <w:szCs w:val="24"/>
        </w:rPr>
        <w:t>2</w:t>
      </w:r>
      <w:r w:rsidRPr="0055164F">
        <w:rPr>
          <w:rFonts w:ascii="Times New Roman" w:hAnsi="Times New Roman"/>
          <w:sz w:val="24"/>
          <w:szCs w:val="24"/>
        </w:rPr>
        <w:t xml:space="preserve">); </w:t>
      </w:r>
    </w:p>
    <w:p w:rsidR="0027547E" w:rsidRDefault="0027547E" w:rsidP="0027547E">
      <w:pPr>
        <w:pStyle w:val="a5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ведение кадрового делопроизводства;</w:t>
      </w:r>
    </w:p>
    <w:p w:rsidR="0027547E" w:rsidRDefault="0027547E" w:rsidP="0027547E">
      <w:pPr>
        <w:pStyle w:val="a5"/>
        <w:numPr>
          <w:ilvl w:val="0"/>
          <w:numId w:val="7"/>
        </w:numPr>
        <w:spacing w:after="0" w:line="240" w:lineRule="auto"/>
        <w:ind w:left="294" w:hanging="294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обеспечение административной деятельности Партнерства;</w:t>
      </w:r>
    </w:p>
    <w:p w:rsidR="0027547E" w:rsidRPr="00AC1ED6" w:rsidRDefault="0027547E" w:rsidP="0027547E">
      <w:pPr>
        <w:pStyle w:val="a5"/>
        <w:numPr>
          <w:ilvl w:val="0"/>
          <w:numId w:val="7"/>
        </w:numPr>
        <w:spacing w:after="0" w:line="240" w:lineRule="auto"/>
        <w:ind w:left="294" w:hanging="294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C1ED6">
        <w:rPr>
          <w:rFonts w:ascii="Times New Roman" w:hAnsi="Times New Roman"/>
          <w:sz w:val="24"/>
          <w:szCs w:val="24"/>
        </w:rPr>
        <w:t xml:space="preserve"> осуществление контроля за соблюдением правил внутреннего трудового распорядка, а также правил и норм охраны труда.</w:t>
      </w:r>
    </w:p>
    <w:p w:rsidR="0027547E" w:rsidRDefault="0027547E" w:rsidP="002754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7547E" w:rsidRDefault="0027547E" w:rsidP="002754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7547E" w:rsidRDefault="00AA2113" w:rsidP="00E24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11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8pt;margin-top:180.6pt;width:378.8pt;height:.65pt;flip:y;z-index:251658240" o:connectortype="straight"/>
        </w:pict>
      </w:r>
      <w:r w:rsidR="0027547E">
        <w:rPr>
          <w:noProof/>
          <w:lang w:eastAsia="ru-RU"/>
        </w:rPr>
        <w:drawing>
          <wp:inline distT="0" distB="0" distL="0" distR="0">
            <wp:extent cx="4813300" cy="2311400"/>
            <wp:effectExtent l="19050" t="0" r="2540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7547E" w:rsidRDefault="0027547E" w:rsidP="00275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47E" w:rsidRDefault="0027547E" w:rsidP="00275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47E" w:rsidRDefault="0027547E" w:rsidP="00275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A88" w:rsidRDefault="00E24A88" w:rsidP="00275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DB7" w:rsidRDefault="00432DB7" w:rsidP="00432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обеспечения мероприятий по контролю</w:t>
      </w:r>
    </w:p>
    <w:p w:rsidR="00432DB7" w:rsidRDefault="00432DB7" w:rsidP="00432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7D0" w:rsidRPr="00E20EF8" w:rsidRDefault="00B837D0" w:rsidP="00B837D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20EF8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E20E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0EF8">
        <w:rPr>
          <w:rFonts w:ascii="Times New Roman" w:hAnsi="Times New Roman"/>
          <w:sz w:val="24"/>
          <w:szCs w:val="24"/>
        </w:rPr>
        <w:t xml:space="preserve"> соблюдением требований к оформлени</w:t>
      </w:r>
      <w:r>
        <w:rPr>
          <w:rFonts w:ascii="Times New Roman" w:hAnsi="Times New Roman"/>
          <w:sz w:val="24"/>
          <w:szCs w:val="24"/>
        </w:rPr>
        <w:t>ю</w:t>
      </w:r>
      <w:r w:rsidRPr="00E20EF8">
        <w:rPr>
          <w:rFonts w:ascii="Times New Roman" w:hAnsi="Times New Roman"/>
          <w:sz w:val="24"/>
          <w:szCs w:val="24"/>
        </w:rPr>
        <w:t xml:space="preserve"> энергетического паспорта должен осуществлять контроль деятельности членов НП «БалтЭнергоЭффект» в части соблюдения ими требований, установленных правилами и стандартами Партнерства.</w:t>
      </w:r>
    </w:p>
    <w:p w:rsidR="00B837D0" w:rsidRPr="00470ED3" w:rsidRDefault="00B837D0" w:rsidP="00B837D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837D0" w:rsidRPr="005C553F" w:rsidRDefault="00B837D0" w:rsidP="00B83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DE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5C553F">
        <w:rPr>
          <w:rFonts w:ascii="Times New Roman" w:hAnsi="Times New Roman"/>
          <w:sz w:val="24"/>
          <w:szCs w:val="24"/>
        </w:rPr>
        <w:t>Кроме того, в 201</w:t>
      </w:r>
      <w:r>
        <w:rPr>
          <w:rFonts w:ascii="Times New Roman" w:hAnsi="Times New Roman"/>
          <w:sz w:val="24"/>
          <w:szCs w:val="24"/>
        </w:rPr>
        <w:t>3</w:t>
      </w:r>
      <w:r w:rsidRPr="005C553F">
        <w:rPr>
          <w:rFonts w:ascii="Times New Roman" w:hAnsi="Times New Roman"/>
          <w:sz w:val="24"/>
          <w:szCs w:val="24"/>
        </w:rPr>
        <w:t xml:space="preserve"> году НП «БалтЭнергоЭффект» выполнило следующий объем работ:</w:t>
      </w:r>
    </w:p>
    <w:p w:rsidR="00B837D0" w:rsidRPr="007A5BE2" w:rsidRDefault="00B837D0" w:rsidP="00B837D0">
      <w:pPr>
        <w:pStyle w:val="a5"/>
        <w:tabs>
          <w:tab w:val="left" w:pos="0"/>
          <w:tab w:val="left" w:pos="105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7D0" w:rsidRDefault="00B837D0" w:rsidP="00B837D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53BE5">
        <w:rPr>
          <w:rFonts w:ascii="Times New Roman" w:hAnsi="Times New Roman"/>
          <w:sz w:val="24"/>
          <w:szCs w:val="24"/>
        </w:rPr>
        <w:t>осуществлена регистрация и</w:t>
      </w:r>
      <w:r>
        <w:rPr>
          <w:rFonts w:ascii="Times New Roman" w:hAnsi="Times New Roman"/>
          <w:sz w:val="24"/>
          <w:szCs w:val="24"/>
        </w:rPr>
        <w:t xml:space="preserve"> проверка договоров страхования</w:t>
      </w:r>
      <w:r w:rsidRPr="005E7438">
        <w:rPr>
          <w:rFonts w:ascii="Times New Roman" w:hAnsi="Times New Roman"/>
          <w:sz w:val="24"/>
          <w:szCs w:val="24"/>
        </w:rPr>
        <w:t xml:space="preserve"> 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 xml:space="preserve">членами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>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 гражданской ответственности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>в случае причинения вреда вследствие недостатков оказанных услуг по энергетическому обследованию</w:t>
      </w:r>
      <w:r w:rsidRPr="00153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53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84 </w:t>
      </w:r>
      <w:r w:rsidRPr="00C93145"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</w:rPr>
        <w:t>а</w:t>
      </w:r>
      <w:r w:rsidRPr="00C93145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837D0" w:rsidRPr="005D0086" w:rsidRDefault="00B837D0" w:rsidP="00B837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- осуществлялся</w:t>
      </w:r>
      <w:r w:rsidRPr="00C93145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 за соблюдением членами НП «БЭФ</w:t>
      </w:r>
      <w:r w:rsidRPr="00C9314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CA20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страхованию членами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bookmarkStart w:id="0" w:name="_GoBack"/>
      <w:bookmarkEnd w:id="0"/>
      <w:r w:rsidRPr="00CA205D">
        <w:rPr>
          <w:rFonts w:ascii="Times New Roman" w:hAnsi="Times New Roman" w:cs="Times New Roman"/>
          <w:bCs/>
          <w:color w:val="000000"/>
          <w:sz w:val="24"/>
          <w:szCs w:val="24"/>
        </w:rPr>
        <w:t>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 гражданской ответственности в случае причинения вреда вследствие недостатков оказанных услуг по энергетическому обследованию</w:t>
      </w:r>
      <w:r>
        <w:rPr>
          <w:rFonts w:ascii="Times New Roman" w:hAnsi="Times New Roman"/>
          <w:sz w:val="24"/>
          <w:szCs w:val="24"/>
        </w:rPr>
        <w:t xml:space="preserve">; было направлено 65 уведомлений о необходимости </w:t>
      </w:r>
      <w:r w:rsidRPr="005D0086">
        <w:rPr>
          <w:rFonts w:ascii="Times New Roman" w:hAnsi="Times New Roman" w:cs="Times New Roman"/>
          <w:color w:val="000000"/>
          <w:sz w:val="24"/>
          <w:szCs w:val="24"/>
        </w:rPr>
        <w:t>осуществлять непрерывное страхование гражданской ответственности до прекращения членства в саморегулируемой организации, посредством заключения новых договоров страхования.</w:t>
      </w:r>
    </w:p>
    <w:p w:rsidR="00B837D0" w:rsidRPr="00FD1653" w:rsidRDefault="00B837D0" w:rsidP="00B837D0">
      <w:pPr>
        <w:pStyle w:val="a5"/>
        <w:tabs>
          <w:tab w:val="left" w:pos="709"/>
        </w:tabs>
        <w:spacing w:after="10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FD1653">
        <w:rPr>
          <w:rFonts w:ascii="Times New Roman" w:hAnsi="Times New Roman"/>
          <w:sz w:val="24"/>
          <w:szCs w:val="24"/>
        </w:rPr>
        <w:t>о</w:t>
      </w:r>
      <w:r w:rsidRPr="00153BE5">
        <w:rPr>
          <w:rFonts w:ascii="Times New Roman" w:hAnsi="Times New Roman"/>
          <w:sz w:val="24"/>
          <w:szCs w:val="24"/>
        </w:rPr>
        <w:t>существлены работы по обновлению сведений, составляющих информационный ресурс партнерства:</w:t>
      </w:r>
    </w:p>
    <w:p w:rsidR="00B837D0" w:rsidRDefault="00B837D0" w:rsidP="00B837D0">
      <w:pPr>
        <w:pStyle w:val="a5"/>
        <w:tabs>
          <w:tab w:val="left" w:pos="709"/>
        </w:tabs>
        <w:spacing w:after="10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53BE5">
        <w:rPr>
          <w:rFonts w:ascii="Times New Roman" w:hAnsi="Times New Roman"/>
          <w:sz w:val="24"/>
          <w:szCs w:val="24"/>
        </w:rPr>
        <w:t>в</w:t>
      </w:r>
      <w:r w:rsidRPr="00C93145">
        <w:rPr>
          <w:rFonts w:ascii="Times New Roman" w:hAnsi="Times New Roman"/>
          <w:sz w:val="24"/>
          <w:szCs w:val="24"/>
        </w:rPr>
        <w:t>несены  необходимые данные, содержащи</w:t>
      </w:r>
      <w:r>
        <w:rPr>
          <w:rFonts w:ascii="Times New Roman" w:hAnsi="Times New Roman"/>
          <w:sz w:val="24"/>
          <w:szCs w:val="24"/>
        </w:rPr>
        <w:t>е</w:t>
      </w:r>
      <w:r w:rsidRPr="00C93145">
        <w:rPr>
          <w:rFonts w:ascii="Times New Roman" w:hAnsi="Times New Roman"/>
          <w:sz w:val="24"/>
          <w:szCs w:val="24"/>
        </w:rPr>
        <w:t xml:space="preserve">ся в Документах по страхованию членов </w:t>
      </w:r>
      <w:r>
        <w:rPr>
          <w:rFonts w:ascii="Times New Roman" w:hAnsi="Times New Roman"/>
          <w:sz w:val="24"/>
          <w:szCs w:val="24"/>
        </w:rPr>
        <w:t>п</w:t>
      </w:r>
      <w:r w:rsidRPr="00C93145">
        <w:rPr>
          <w:rFonts w:ascii="Times New Roman" w:hAnsi="Times New Roman"/>
          <w:sz w:val="24"/>
          <w:szCs w:val="24"/>
        </w:rPr>
        <w:t xml:space="preserve">артнерства, в Единую базу </w:t>
      </w:r>
      <w:r w:rsidRPr="001E3A1A">
        <w:rPr>
          <w:rFonts w:ascii="Times New Roman" w:hAnsi="Times New Roman"/>
          <w:sz w:val="24"/>
          <w:szCs w:val="24"/>
        </w:rPr>
        <w:t>СРО (</w:t>
      </w:r>
      <w:r>
        <w:rPr>
          <w:rFonts w:ascii="Times New Roman" w:hAnsi="Times New Roman"/>
          <w:sz w:val="24"/>
          <w:szCs w:val="24"/>
        </w:rPr>
        <w:t xml:space="preserve">84 </w:t>
      </w:r>
      <w:r w:rsidRPr="00C93145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C931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837D0" w:rsidRDefault="00B837D0" w:rsidP="00B837D0">
      <w:pPr>
        <w:pStyle w:val="a5"/>
        <w:tabs>
          <w:tab w:val="left" w:pos="709"/>
        </w:tabs>
        <w:spacing w:after="10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7D0" w:rsidRDefault="00B837D0" w:rsidP="00B837D0">
      <w:pPr>
        <w:pStyle w:val="a5"/>
        <w:tabs>
          <w:tab w:val="left" w:pos="709"/>
        </w:tabs>
        <w:spacing w:after="10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5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договоров страхования гражданской ответственности, представленных членами НП «БЭФ» - 84</w:t>
      </w:r>
      <w:r w:rsidR="00142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837D0" w:rsidRDefault="00B837D0" w:rsidP="00B837D0">
      <w:pPr>
        <w:pStyle w:val="a5"/>
        <w:tabs>
          <w:tab w:val="left" w:pos="709"/>
        </w:tabs>
        <w:spacing w:after="1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927822">
        <w:rPr>
          <w:rFonts w:ascii="Times New Roman" w:hAnsi="Times New Roman"/>
          <w:color w:val="000000"/>
          <w:sz w:val="24"/>
          <w:szCs w:val="24"/>
        </w:rPr>
        <w:t>Договоры страхования соответствуют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>к страхованию членами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 гражданской ответственности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>в случае причинения вреда вследствие недостатков оказанных услуг по энергетическому обследованию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2851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68</w:t>
      </w:r>
      <w:r w:rsidR="0014285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837D0" w:rsidRDefault="00B837D0" w:rsidP="00B837D0">
      <w:pPr>
        <w:pStyle w:val="a5"/>
        <w:tabs>
          <w:tab w:val="left" w:pos="709"/>
        </w:tabs>
        <w:spacing w:after="100" w:line="240" w:lineRule="auto"/>
        <w:ind w:left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данный период осуществляется процедура согласования договора страхования гражданской ответственности с са</w:t>
      </w:r>
      <w:r w:rsidRPr="00927822">
        <w:rPr>
          <w:rFonts w:ascii="Times New Roman" w:hAnsi="Times New Roman"/>
          <w:color w:val="000000"/>
          <w:sz w:val="24"/>
          <w:szCs w:val="24"/>
        </w:rPr>
        <w:t>морегулируемой 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- 16 пакетов документов.</w:t>
      </w:r>
    </w:p>
    <w:p w:rsidR="00432DB7" w:rsidRDefault="00432DB7" w:rsidP="00432DB7">
      <w:pPr>
        <w:pStyle w:val="a5"/>
        <w:tabs>
          <w:tab w:val="left" w:pos="709"/>
        </w:tabs>
        <w:spacing w:after="1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32DB7" w:rsidRDefault="00432DB7" w:rsidP="00432DB7">
      <w:pPr>
        <w:pStyle w:val="a5"/>
        <w:tabs>
          <w:tab w:val="left" w:pos="709"/>
        </w:tabs>
        <w:spacing w:after="100" w:line="240" w:lineRule="auto"/>
        <w:ind w:left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Результаты работы по </w:t>
      </w:r>
    </w:p>
    <w:p w:rsidR="00432DB7" w:rsidRDefault="00432DB7" w:rsidP="00432DB7">
      <w:pPr>
        <w:pStyle w:val="a5"/>
        <w:tabs>
          <w:tab w:val="left" w:pos="0"/>
          <w:tab w:val="left" w:pos="105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контролю за соблюдением членами НП «БалтЭнергоЭффект» </w:t>
      </w:r>
    </w:p>
    <w:p w:rsidR="00432DB7" w:rsidRDefault="00432DB7" w:rsidP="00432DB7">
      <w:pPr>
        <w:pStyle w:val="a5"/>
        <w:tabs>
          <w:tab w:val="left" w:pos="0"/>
          <w:tab w:val="left" w:pos="105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Требований к страхованию гражданской ответственности</w:t>
      </w:r>
    </w:p>
    <w:p w:rsidR="00432DB7" w:rsidRDefault="00432DB7" w:rsidP="00432DB7">
      <w:pPr>
        <w:pStyle w:val="a5"/>
        <w:tabs>
          <w:tab w:val="left" w:pos="0"/>
          <w:tab w:val="left" w:pos="105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DB7" w:rsidRDefault="00AA2113" w:rsidP="00432DB7">
      <w:pPr>
        <w:pStyle w:val="a5"/>
        <w:tabs>
          <w:tab w:val="left" w:pos="0"/>
          <w:tab w:val="left" w:pos="105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1.35pt;margin-top:200.2pt;width:468.3pt;height:1.25pt;flip:y;z-index:251659264" o:connectortype="straight"/>
        </w:pict>
      </w:r>
      <w:r w:rsidR="00432DB7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028" cy="2554224"/>
            <wp:effectExtent l="12192" t="6096" r="3175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366F" w:rsidRDefault="001C366F" w:rsidP="00432DB7">
      <w:pPr>
        <w:pStyle w:val="a5"/>
        <w:tabs>
          <w:tab w:val="left" w:pos="0"/>
          <w:tab w:val="left" w:pos="105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C366F" w:rsidSect="00E958FE">
      <w:headerReference w:type="default" r:id="rId20"/>
      <w:footerReference w:type="default" r:id="rId21"/>
      <w:footerReference w:type="first" r:id="rId2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89" w:rsidRDefault="005E5789" w:rsidP="009E196E">
      <w:pPr>
        <w:spacing w:after="0" w:line="240" w:lineRule="auto"/>
      </w:pPr>
      <w:r>
        <w:separator/>
      </w:r>
    </w:p>
  </w:endnote>
  <w:endnote w:type="continuationSeparator" w:id="0">
    <w:p w:rsidR="005E5789" w:rsidRDefault="005E5789" w:rsidP="009E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6E" w:rsidRDefault="009E196E" w:rsidP="009E196E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15370"/>
      <w:docPartObj>
        <w:docPartGallery w:val="Page Numbers (Bottom of Page)"/>
        <w:docPartUnique/>
      </w:docPartObj>
    </w:sdtPr>
    <w:sdtContent>
      <w:p w:rsidR="009E196E" w:rsidRDefault="00AA2113">
        <w:pPr>
          <w:pStyle w:val="ae"/>
          <w:jc w:val="right"/>
        </w:pPr>
        <w:r>
          <w:fldChar w:fldCharType="begin"/>
        </w:r>
        <w:r w:rsidR="009E196E">
          <w:instrText>PAGE   \* MERGEFORMAT</w:instrText>
        </w:r>
        <w:r>
          <w:fldChar w:fldCharType="separate"/>
        </w:r>
        <w:r w:rsidR="00142851">
          <w:rPr>
            <w:noProof/>
          </w:rPr>
          <w:t>1</w:t>
        </w:r>
        <w:r>
          <w:fldChar w:fldCharType="end"/>
        </w:r>
      </w:p>
    </w:sdtContent>
  </w:sdt>
  <w:p w:rsidR="009E196E" w:rsidRDefault="009E19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89" w:rsidRDefault="005E5789" w:rsidP="009E196E">
      <w:pPr>
        <w:spacing w:after="0" w:line="240" w:lineRule="auto"/>
      </w:pPr>
      <w:r>
        <w:separator/>
      </w:r>
    </w:p>
  </w:footnote>
  <w:footnote w:type="continuationSeparator" w:id="0">
    <w:p w:rsidR="005E5789" w:rsidRDefault="005E5789" w:rsidP="009E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831"/>
      <w:docPartObj>
        <w:docPartGallery w:val="Page Numbers (Top of Page)"/>
        <w:docPartUnique/>
      </w:docPartObj>
    </w:sdtPr>
    <w:sdtContent>
      <w:p w:rsidR="00E958FE" w:rsidRDefault="00E958FE">
        <w:pPr>
          <w:pStyle w:val="ac"/>
          <w:jc w:val="center"/>
        </w:pPr>
        <w:fldSimple w:instr=" PAGE   \* MERGEFORMAT ">
          <w:r w:rsidR="00142851">
            <w:rPr>
              <w:noProof/>
            </w:rPr>
            <w:t>18</w:t>
          </w:r>
        </w:fldSimple>
      </w:p>
    </w:sdtContent>
  </w:sdt>
  <w:p w:rsidR="00E958FE" w:rsidRDefault="00E958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E7"/>
    <w:multiLevelType w:val="hybridMultilevel"/>
    <w:tmpl w:val="68342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73711"/>
    <w:multiLevelType w:val="hybridMultilevel"/>
    <w:tmpl w:val="6E9CC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89400E"/>
    <w:multiLevelType w:val="hybridMultilevel"/>
    <w:tmpl w:val="1A9E6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D26389"/>
    <w:multiLevelType w:val="hybridMultilevel"/>
    <w:tmpl w:val="9514B3B0"/>
    <w:lvl w:ilvl="0" w:tplc="F454E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011DD2"/>
    <w:multiLevelType w:val="hybridMultilevel"/>
    <w:tmpl w:val="D000481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842E99"/>
    <w:multiLevelType w:val="hybridMultilevel"/>
    <w:tmpl w:val="AF443F62"/>
    <w:lvl w:ilvl="0" w:tplc="F956D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09E9"/>
    <w:multiLevelType w:val="hybridMultilevel"/>
    <w:tmpl w:val="BE7A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71EF0"/>
    <w:multiLevelType w:val="hybridMultilevel"/>
    <w:tmpl w:val="10E44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47C194C"/>
    <w:multiLevelType w:val="hybridMultilevel"/>
    <w:tmpl w:val="037E4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E68F0"/>
    <w:multiLevelType w:val="hybridMultilevel"/>
    <w:tmpl w:val="FD008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547E"/>
    <w:rsid w:val="00007501"/>
    <w:rsid w:val="00020A3D"/>
    <w:rsid w:val="000323B4"/>
    <w:rsid w:val="00032560"/>
    <w:rsid w:val="00033723"/>
    <w:rsid w:val="000431BB"/>
    <w:rsid w:val="00047408"/>
    <w:rsid w:val="00067C08"/>
    <w:rsid w:val="00073624"/>
    <w:rsid w:val="000C287F"/>
    <w:rsid w:val="000F519C"/>
    <w:rsid w:val="00116B9A"/>
    <w:rsid w:val="00126532"/>
    <w:rsid w:val="00135960"/>
    <w:rsid w:val="00142851"/>
    <w:rsid w:val="00153B8B"/>
    <w:rsid w:val="0015760B"/>
    <w:rsid w:val="001669F5"/>
    <w:rsid w:val="00185647"/>
    <w:rsid w:val="001A58C3"/>
    <w:rsid w:val="001B04BF"/>
    <w:rsid w:val="001B4CD9"/>
    <w:rsid w:val="001B5831"/>
    <w:rsid w:val="001B64C3"/>
    <w:rsid w:val="001C366F"/>
    <w:rsid w:val="001C51C9"/>
    <w:rsid w:val="001D601A"/>
    <w:rsid w:val="002106DD"/>
    <w:rsid w:val="00233446"/>
    <w:rsid w:val="002557F1"/>
    <w:rsid w:val="00264E96"/>
    <w:rsid w:val="0027547E"/>
    <w:rsid w:val="002876B7"/>
    <w:rsid w:val="002915EE"/>
    <w:rsid w:val="002B3725"/>
    <w:rsid w:val="003245E0"/>
    <w:rsid w:val="003265CA"/>
    <w:rsid w:val="00327CA0"/>
    <w:rsid w:val="00382296"/>
    <w:rsid w:val="0039489C"/>
    <w:rsid w:val="003A22F3"/>
    <w:rsid w:val="003B0432"/>
    <w:rsid w:val="003C5C91"/>
    <w:rsid w:val="003D1C19"/>
    <w:rsid w:val="003D2162"/>
    <w:rsid w:val="003E6AE6"/>
    <w:rsid w:val="003F104E"/>
    <w:rsid w:val="003F7047"/>
    <w:rsid w:val="00411D3D"/>
    <w:rsid w:val="00422271"/>
    <w:rsid w:val="00432DB7"/>
    <w:rsid w:val="00433C57"/>
    <w:rsid w:val="00442E76"/>
    <w:rsid w:val="004B00E6"/>
    <w:rsid w:val="004D4D7C"/>
    <w:rsid w:val="004D4F68"/>
    <w:rsid w:val="004E3E88"/>
    <w:rsid w:val="005020FE"/>
    <w:rsid w:val="0051496D"/>
    <w:rsid w:val="00515C53"/>
    <w:rsid w:val="005248C3"/>
    <w:rsid w:val="0053405D"/>
    <w:rsid w:val="0055164F"/>
    <w:rsid w:val="005770E4"/>
    <w:rsid w:val="00592806"/>
    <w:rsid w:val="005A3C71"/>
    <w:rsid w:val="005A68DF"/>
    <w:rsid w:val="005B57BB"/>
    <w:rsid w:val="005C553F"/>
    <w:rsid w:val="005E1DA6"/>
    <w:rsid w:val="005E30EF"/>
    <w:rsid w:val="005E5789"/>
    <w:rsid w:val="005F02C1"/>
    <w:rsid w:val="00610C1A"/>
    <w:rsid w:val="00613D10"/>
    <w:rsid w:val="00624DA0"/>
    <w:rsid w:val="006305C1"/>
    <w:rsid w:val="00640F9C"/>
    <w:rsid w:val="00647340"/>
    <w:rsid w:val="00656428"/>
    <w:rsid w:val="00686A7B"/>
    <w:rsid w:val="00697468"/>
    <w:rsid w:val="006B2A88"/>
    <w:rsid w:val="006C2CEC"/>
    <w:rsid w:val="006C3C90"/>
    <w:rsid w:val="006F3888"/>
    <w:rsid w:val="006F7746"/>
    <w:rsid w:val="00725783"/>
    <w:rsid w:val="00736F6F"/>
    <w:rsid w:val="0076427A"/>
    <w:rsid w:val="00766B25"/>
    <w:rsid w:val="00775A75"/>
    <w:rsid w:val="00783755"/>
    <w:rsid w:val="00785B59"/>
    <w:rsid w:val="00794B22"/>
    <w:rsid w:val="007D614A"/>
    <w:rsid w:val="007E2F17"/>
    <w:rsid w:val="007E5DEE"/>
    <w:rsid w:val="007F5B9D"/>
    <w:rsid w:val="008032C2"/>
    <w:rsid w:val="00803791"/>
    <w:rsid w:val="008321C6"/>
    <w:rsid w:val="00854510"/>
    <w:rsid w:val="00877A06"/>
    <w:rsid w:val="0088142C"/>
    <w:rsid w:val="008B081B"/>
    <w:rsid w:val="008C6E6D"/>
    <w:rsid w:val="008D06BD"/>
    <w:rsid w:val="008D246D"/>
    <w:rsid w:val="008D53C0"/>
    <w:rsid w:val="008D77DC"/>
    <w:rsid w:val="008E7A8E"/>
    <w:rsid w:val="008F3514"/>
    <w:rsid w:val="00921715"/>
    <w:rsid w:val="009245BD"/>
    <w:rsid w:val="00937592"/>
    <w:rsid w:val="009440CF"/>
    <w:rsid w:val="0094711B"/>
    <w:rsid w:val="0095105A"/>
    <w:rsid w:val="009807C1"/>
    <w:rsid w:val="00996B89"/>
    <w:rsid w:val="009A7CEA"/>
    <w:rsid w:val="009C26FD"/>
    <w:rsid w:val="009C70D3"/>
    <w:rsid w:val="009E196E"/>
    <w:rsid w:val="009E46CF"/>
    <w:rsid w:val="009E5C53"/>
    <w:rsid w:val="009F1A0A"/>
    <w:rsid w:val="00A152EC"/>
    <w:rsid w:val="00A169DF"/>
    <w:rsid w:val="00A63652"/>
    <w:rsid w:val="00A73FDE"/>
    <w:rsid w:val="00A752A2"/>
    <w:rsid w:val="00AA2113"/>
    <w:rsid w:val="00AB1708"/>
    <w:rsid w:val="00AE0051"/>
    <w:rsid w:val="00B35A00"/>
    <w:rsid w:val="00B55F75"/>
    <w:rsid w:val="00B649FC"/>
    <w:rsid w:val="00B837D0"/>
    <w:rsid w:val="00BC0F85"/>
    <w:rsid w:val="00BC7815"/>
    <w:rsid w:val="00BD3A39"/>
    <w:rsid w:val="00C14496"/>
    <w:rsid w:val="00C34D7F"/>
    <w:rsid w:val="00C6118C"/>
    <w:rsid w:val="00C976BE"/>
    <w:rsid w:val="00CB5E57"/>
    <w:rsid w:val="00CD255F"/>
    <w:rsid w:val="00CD2FB3"/>
    <w:rsid w:val="00CE343F"/>
    <w:rsid w:val="00D069D2"/>
    <w:rsid w:val="00D16B9F"/>
    <w:rsid w:val="00D16C6D"/>
    <w:rsid w:val="00D21D3F"/>
    <w:rsid w:val="00D226AA"/>
    <w:rsid w:val="00D24BEC"/>
    <w:rsid w:val="00D30D5B"/>
    <w:rsid w:val="00D35B4F"/>
    <w:rsid w:val="00D521DC"/>
    <w:rsid w:val="00D91351"/>
    <w:rsid w:val="00D96CF6"/>
    <w:rsid w:val="00DA6D2D"/>
    <w:rsid w:val="00E063E5"/>
    <w:rsid w:val="00E158AF"/>
    <w:rsid w:val="00E21F77"/>
    <w:rsid w:val="00E2328B"/>
    <w:rsid w:val="00E24A88"/>
    <w:rsid w:val="00E478BF"/>
    <w:rsid w:val="00E55D50"/>
    <w:rsid w:val="00E82745"/>
    <w:rsid w:val="00E83BD8"/>
    <w:rsid w:val="00E91A34"/>
    <w:rsid w:val="00E92119"/>
    <w:rsid w:val="00E958FE"/>
    <w:rsid w:val="00ED3555"/>
    <w:rsid w:val="00EE003D"/>
    <w:rsid w:val="00F04BBA"/>
    <w:rsid w:val="00F253BD"/>
    <w:rsid w:val="00F44D89"/>
    <w:rsid w:val="00F71430"/>
    <w:rsid w:val="00F81FDE"/>
    <w:rsid w:val="00F83C45"/>
    <w:rsid w:val="00F85FB4"/>
    <w:rsid w:val="00F92DCF"/>
    <w:rsid w:val="00F96858"/>
    <w:rsid w:val="00FC6D4A"/>
    <w:rsid w:val="00FC77C2"/>
    <w:rsid w:val="00FD6DFD"/>
    <w:rsid w:val="00FF074B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4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47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754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7547E"/>
    <w:pPr>
      <w:ind w:left="708"/>
    </w:pPr>
  </w:style>
  <w:style w:type="character" w:styleId="a6">
    <w:name w:val="Strong"/>
    <w:basedOn w:val="a0"/>
    <w:uiPriority w:val="22"/>
    <w:qFormat/>
    <w:rsid w:val="002754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47E"/>
    <w:rPr>
      <w:rFonts w:ascii="Tahoma" w:eastAsia="Calibri" w:hAnsi="Tahoma" w:cs="Tahoma"/>
      <w:sz w:val="16"/>
      <w:szCs w:val="16"/>
    </w:rPr>
  </w:style>
  <w:style w:type="character" w:customStyle="1" w:styleId="name">
    <w:name w:val="name"/>
    <w:basedOn w:val="a0"/>
    <w:rsid w:val="001C366F"/>
  </w:style>
  <w:style w:type="character" w:customStyle="1" w:styleId="1">
    <w:name w:val="Дата1"/>
    <w:basedOn w:val="a0"/>
    <w:rsid w:val="001C366F"/>
  </w:style>
  <w:style w:type="character" w:styleId="a9">
    <w:name w:val="Emphasis"/>
    <w:basedOn w:val="a0"/>
    <w:uiPriority w:val="20"/>
    <w:qFormat/>
    <w:rsid w:val="001C366F"/>
    <w:rPr>
      <w:i/>
      <w:iCs/>
    </w:rPr>
  </w:style>
  <w:style w:type="paragraph" w:styleId="aa">
    <w:name w:val="Body Text Indent"/>
    <w:basedOn w:val="a"/>
    <w:link w:val="ab"/>
    <w:uiPriority w:val="99"/>
    <w:rsid w:val="00CD2FB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D2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E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196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E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196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4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47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754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7547E"/>
    <w:pPr>
      <w:ind w:left="708"/>
    </w:pPr>
  </w:style>
  <w:style w:type="character" w:styleId="a6">
    <w:name w:val="Strong"/>
    <w:basedOn w:val="a0"/>
    <w:uiPriority w:val="22"/>
    <w:qFormat/>
    <w:rsid w:val="002754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47E"/>
    <w:rPr>
      <w:rFonts w:ascii="Tahoma" w:eastAsia="Calibri" w:hAnsi="Tahoma" w:cs="Tahoma"/>
      <w:sz w:val="16"/>
      <w:szCs w:val="16"/>
    </w:rPr>
  </w:style>
  <w:style w:type="character" w:customStyle="1" w:styleId="name">
    <w:name w:val="name"/>
    <w:basedOn w:val="a0"/>
    <w:rsid w:val="001C366F"/>
  </w:style>
  <w:style w:type="character" w:customStyle="1" w:styleId="1">
    <w:name w:val="Дата1"/>
    <w:basedOn w:val="a0"/>
    <w:rsid w:val="001C366F"/>
  </w:style>
  <w:style w:type="character" w:styleId="a9">
    <w:name w:val="Emphasis"/>
    <w:basedOn w:val="a0"/>
    <w:uiPriority w:val="20"/>
    <w:qFormat/>
    <w:rsid w:val="001C366F"/>
    <w:rPr>
      <w:i/>
      <w:iCs/>
    </w:rPr>
  </w:style>
  <w:style w:type="paragraph" w:styleId="aa">
    <w:name w:val="Body Text Indent"/>
    <w:basedOn w:val="a"/>
    <w:link w:val="ab"/>
    <w:uiPriority w:val="99"/>
    <w:rsid w:val="00CD2FB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D2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E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196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E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19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Принято 12 членов в НП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«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БалтЭнергоЭффект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»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2013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5.7783337283508637E-2"/>
          <c:y val="0.33777327626577874"/>
          <c:w val="0.91769046427724954"/>
          <c:h val="0.5070308535084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Принято членов в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6.6291017567119701E-3"/>
                  <c:y val="0.2411790978115231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5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0.3215547156435106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7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Санкт-Петербург и ЛО</c:v>
                </c:pt>
                <c:pt idx="1">
                  <c:v>Регионы РФ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axId val="160391936"/>
        <c:axId val="164122624"/>
      </c:barChart>
      <c:catAx>
        <c:axId val="160391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122624"/>
        <c:crosses val="autoZero"/>
        <c:auto val="1"/>
        <c:lblAlgn val="ctr"/>
        <c:lblOffset val="100"/>
      </c:catAx>
      <c:valAx>
        <c:axId val="164122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0391936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5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rotY val="152"/>
      <c:perspective val="30"/>
    </c:view3D>
    <c:plotArea>
      <c:layout>
        <c:manualLayout>
          <c:layoutTarget val="inner"/>
          <c:xMode val="edge"/>
          <c:yMode val="edge"/>
          <c:x val="2.1956087824351298E-2"/>
          <c:y val="0.25783745781777284"/>
          <c:w val="0.58578339384223432"/>
          <c:h val="0.698511748531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Протоколы заседаний коллегиальных органов</c:v>
                </c:pt>
              </c:strCache>
            </c:strRef>
          </c:tx>
          <c:explosion val="14"/>
          <c:dLbls>
            <c:dLbl>
              <c:idx val="0"/>
              <c:tx>
                <c:rich>
                  <a:bodyPr/>
                  <a:lstStyle/>
                  <a:p>
                    <a:pPr>
                      <a:defRPr sz="2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1"/>
                      <a:t> 28</a:t>
                    </a:r>
                  </a:p>
                </c:rich>
              </c:tx>
              <c:spPr/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0">
                        <a:solidFill>
                          <a:schemeClr val="bg1"/>
                        </a:solidFill>
                      </a:rPr>
                      <a:t>4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о приеме новых членов</c:v>
                </c:pt>
                <c:pt idx="1">
                  <c:v>по организационно-правовым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62769971197819507"/>
          <c:y val="0.13574984161462594"/>
          <c:w val="0.34435610356007768"/>
          <c:h val="0.86332247262195672"/>
        </c:manualLayout>
      </c:layout>
      <c:txPr>
        <a:bodyPr/>
        <a:lstStyle/>
        <a:p>
          <a:pPr>
            <a:defRPr sz="119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ln>
      <a:solidFill>
        <a:srgbClr val="4F81BD"/>
      </a:solidFill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Percent val="1"/>
          </c:dLbls>
          <c:cat>
            <c:strRef>
              <c:f>Лист1!$B$3:$B$4</c:f>
              <c:strCache>
                <c:ptCount val="2"/>
                <c:pt idx="0">
                  <c:v>Договоры страхования соответствуют Требованиям к страхованию</c:v>
                </c:pt>
                <c:pt idx="1">
                  <c:v>В данный период существляется процедура согласования договора страхования гражданской ответственности с Сморегулируемой организацией 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68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v>2</c:v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legend>
      <c:legendPos val="r"/>
      <c:layout>
        <c:manualLayout>
          <c:xMode val="edge"/>
          <c:yMode val="edge"/>
          <c:x val="0.64380460993952582"/>
          <c:y val="0.11293743933645108"/>
          <c:w val="0.31814979567960305"/>
          <c:h val="0.80449503416767165"/>
        </c:manualLayout>
      </c:layout>
      <c:txPr>
        <a:bodyPr/>
        <a:lstStyle/>
        <a:p>
          <a:pPr>
            <a:defRPr sz="900" baseline="0"/>
          </a:pPr>
          <a:endParaRPr lang="ru-RU"/>
        </a:p>
      </c:txPr>
    </c:legend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Территориальные управления НП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«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БалтЭнергоЭффект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»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в 2013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Территориальные управления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44443029065857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Иркутская область</c:v>
                </c:pt>
                <c:pt idx="2">
                  <c:v>По Югу России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23</c:v>
                </c:pt>
              </c:numCache>
            </c:numRef>
          </c:val>
        </c:ser>
        <c:axId val="164823808"/>
        <c:axId val="164825728"/>
      </c:barChart>
      <c:catAx>
        <c:axId val="164823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825728"/>
        <c:crosses val="autoZero"/>
        <c:auto val="1"/>
        <c:lblAlgn val="ctr"/>
        <c:lblOffset val="100"/>
      </c:catAx>
      <c:valAx>
        <c:axId val="164825728"/>
        <c:scaling>
          <c:orientation val="minMax"/>
        </c:scaling>
        <c:axPos val="l"/>
        <c:majorGridlines/>
        <c:numFmt formatCode="General" sourceLinked="1"/>
        <c:tickLblPos val="nextTo"/>
        <c:crossAx val="16482380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регистрируемых энергопаспортов</a:t>
            </a:r>
          </a:p>
        </c:rich>
      </c:tx>
      <c:layout>
        <c:manualLayout>
          <c:xMode val="edge"/>
          <c:yMode val="edge"/>
          <c:x val="0.15163203557888594"/>
          <c:y val="2.380952380952381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1 кв. 2013</c:v>
                </c:pt>
                <c:pt idx="3">
                  <c:v>2 кв. 2013</c:v>
                </c:pt>
                <c:pt idx="4">
                  <c:v>3 кв. 2013</c:v>
                </c:pt>
                <c:pt idx="5">
                  <c:v>4 кв. 2013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44</c:v>
                </c:pt>
                <c:pt idx="4">
                  <c:v>160</c:v>
                </c:pt>
                <c:pt idx="5">
                  <c:v>143</c:v>
                </c:pt>
              </c:numCache>
            </c:numRef>
          </c:val>
        </c:ser>
        <c:marker val="1"/>
        <c:axId val="171392000"/>
        <c:axId val="172704512"/>
      </c:lineChart>
      <c:catAx>
        <c:axId val="171392000"/>
        <c:scaling>
          <c:orientation val="minMax"/>
        </c:scaling>
        <c:axPos val="b"/>
        <c:tickLblPos val="nextTo"/>
        <c:crossAx val="172704512"/>
        <c:crosses val="autoZero"/>
        <c:auto val="1"/>
        <c:lblAlgn val="ctr"/>
        <c:lblOffset val="100"/>
      </c:catAx>
      <c:valAx>
        <c:axId val="172704512"/>
        <c:scaling>
          <c:orientation val="minMax"/>
        </c:scaling>
        <c:axPos val="l"/>
        <c:majorGridlines/>
        <c:numFmt formatCode="General" sourceLinked="1"/>
        <c:tickLblPos val="nextTo"/>
        <c:crossAx val="17139200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приема членов в</a:t>
            </a:r>
          </a:p>
          <a:p>
            <a:pPr>
              <a:defRPr/>
            </a:pPr>
            <a:r>
              <a:rPr lang="ru-RU" sz="1600"/>
              <a:t>НП </a:t>
            </a:r>
            <a:r>
              <a:rPr lang="ru-RU" sz="1600" b="1" i="0" u="none" strike="noStrike" baseline="0"/>
              <a:t>«</a:t>
            </a:r>
            <a:r>
              <a:rPr lang="ru-RU" sz="1600"/>
              <a:t>БалтЭнергоЭффект</a:t>
            </a:r>
            <a:r>
              <a:rPr lang="ru-RU" sz="1600" b="1" i="0" u="none" strike="noStrike" baseline="0"/>
              <a:t>»</a:t>
            </a:r>
            <a:endParaRPr lang="ru-RU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членов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-5.2552554105854497E-3"/>
                  <c:y val="-1.40949497687013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4.661593777392880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2552554105854497E-3"/>
                  <c:y val="-6.941345957167291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7.632469282285695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4.8172618102838554E-17"/>
                  <c:y val="-7.632466479429365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1.409494976870136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-7.632469282285695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-4.981633085491091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5.2552554105854497E-3"/>
                  <c:y val="-1.558038752114774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9424228837821075E-3"/>
                  <c:y val="-6.9255551479323434E-3"/>
                </c:manualLayout>
              </c:layout>
              <c:dLblPos val="outEnd"/>
              <c:showVal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Лист1!$A$2:$A$13</c:f>
              <c:numCache>
                <c:formatCode>mmm\-yy</c:formatCode>
                <c:ptCount val="12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gapWidth val="87"/>
        <c:overlap val="66"/>
        <c:axId val="179447680"/>
        <c:axId val="179991296"/>
      </c:barChart>
      <c:dateAx>
        <c:axId val="179447680"/>
        <c:scaling>
          <c:orientation val="minMax"/>
        </c:scaling>
        <c:axPos val="b"/>
        <c:numFmt formatCode="mmm/yy" sourceLinked="0"/>
        <c:tickLblPos val="nextTo"/>
        <c:txPr>
          <a:bodyPr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  <c:crossAx val="179991296"/>
        <c:crosses val="autoZero"/>
        <c:auto val="1"/>
        <c:lblOffset val="100"/>
        <c:baseTimeUnit val="months"/>
      </c:dateAx>
      <c:valAx>
        <c:axId val="179991296"/>
        <c:scaling>
          <c:orientation val="minMax"/>
        </c:scaling>
        <c:axPos val="l"/>
        <c:majorGridlines/>
        <c:numFmt formatCode="General" sourceLinked="1"/>
        <c:tickLblPos val="nextTo"/>
        <c:crossAx val="179447680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dLblPos val="inEnd"/>
              <c:showVal val="1"/>
            </c:dLbl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4"/>
              <c:dLblPos val="inEnd"/>
              <c:showVal val="1"/>
            </c:dLbl>
            <c:dLbl>
              <c:idx val="5"/>
              <c:dLblPos val="inEnd"/>
              <c:showVal val="1"/>
            </c:dLbl>
            <c:dLbl>
              <c:idx val="6"/>
              <c:dLblPos val="inEnd"/>
              <c:showVal val="1"/>
            </c:dLbl>
            <c:dLbl>
              <c:idx val="7"/>
              <c:dLblPos val="inEnd"/>
              <c:showVal val="1"/>
            </c:dLbl>
            <c:dLbl>
              <c:idx val="8"/>
              <c:dLblPos val="inEnd"/>
              <c:showVal val="1"/>
            </c:dLbl>
            <c:dLbl>
              <c:idx val="9"/>
              <c:dLblPos val="inEnd"/>
              <c:showVal val="1"/>
            </c:dLbl>
            <c:dLbl>
              <c:idx val="10"/>
              <c:dLblPos val="inEnd"/>
              <c:showVal val="1"/>
            </c:dLbl>
            <c:delete val="1"/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</c:dLbls>
          <c:cat>
            <c:strRef>
              <c:f>Лист1!$A$2:$A$10</c:f>
              <c:strCache>
                <c:ptCount val="9"/>
                <c:pt idx="0">
                  <c:v>Санкт-Петербург</c:v>
                </c:pt>
                <c:pt idx="1">
                  <c:v>Ростовская область</c:v>
                </c:pt>
                <c:pt idx="2">
                  <c:v>Ставропольский край </c:v>
                </c:pt>
                <c:pt idx="3">
                  <c:v>Ленинградская область</c:v>
                </c:pt>
                <c:pt idx="4">
                  <c:v>Калининградская область</c:v>
                </c:pt>
                <c:pt idx="5">
                  <c:v>Псковская область</c:v>
                </c:pt>
                <c:pt idx="6">
                  <c:v>Мурманская область</c:v>
                </c:pt>
                <c:pt idx="7">
                  <c:v>Архангельская область</c:v>
                </c:pt>
                <c:pt idx="8">
                  <c:v>Другие регионы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</c:v>
                </c:pt>
                <c:pt idx="1">
                  <c:v>13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22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243275441633618"/>
          <c:y val="5.2741831184145514E-2"/>
          <c:w val="0.34542730031086594"/>
          <c:h val="0.87467381794667076"/>
        </c:manualLayout>
      </c:layout>
      <c:txPr>
        <a:bodyPr/>
        <a:lstStyle/>
        <a:p>
          <a:pPr>
            <a:defRPr sz="119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0;[Red]\-0</c:formatCode>
                <c:ptCount val="9"/>
                <c:pt idx="0">
                  <c:v>1039</c:v>
                </c:pt>
                <c:pt idx="1">
                  <c:v>963</c:v>
                </c:pt>
                <c:pt idx="2">
                  <c:v>798</c:v>
                </c:pt>
                <c:pt idx="3">
                  <c:v>658</c:v>
                </c:pt>
                <c:pt idx="4">
                  <c:v>258</c:v>
                </c:pt>
                <c:pt idx="5">
                  <c:v>810</c:v>
                </c:pt>
                <c:pt idx="6">
                  <c:v>508</c:v>
                </c:pt>
                <c:pt idx="7">
                  <c:v>584</c:v>
                </c:pt>
                <c:pt idx="8">
                  <c:v>330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Задолженность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 formatCode="0;[Red]\-0">
                  <c:v>7933</c:v>
                </c:pt>
                <c:pt idx="1">
                  <c:v>7063</c:v>
                </c:pt>
                <c:pt idx="2">
                  <c:v>6351</c:v>
                </c:pt>
                <c:pt idx="3">
                  <c:v>5848</c:v>
                </c:pt>
                <c:pt idx="4">
                  <c:v>5660</c:v>
                </c:pt>
                <c:pt idx="5">
                  <c:v>4850</c:v>
                </c:pt>
                <c:pt idx="6">
                  <c:v>4398</c:v>
                </c:pt>
                <c:pt idx="7">
                  <c:v>3861</c:v>
                </c:pt>
                <c:pt idx="8" formatCode="0;[Red]\-0">
                  <c:v>3531</c:v>
                </c:pt>
              </c:numCache>
            </c:numRef>
          </c:val>
        </c:ser>
        <c:shape val="cylinder"/>
        <c:axId val="179544064"/>
        <c:axId val="179545600"/>
        <c:axId val="0"/>
      </c:bar3DChart>
      <c:catAx>
        <c:axId val="179544064"/>
        <c:scaling>
          <c:orientation val="minMax"/>
        </c:scaling>
        <c:axPos val="b"/>
        <c:numFmt formatCode="General" sourceLinked="1"/>
        <c:tickLblPos val="nextTo"/>
        <c:crossAx val="179545600"/>
        <c:crosses val="autoZero"/>
        <c:auto val="1"/>
        <c:lblAlgn val="ctr"/>
        <c:lblOffset val="100"/>
      </c:catAx>
      <c:valAx>
        <c:axId val="179545600"/>
        <c:scaling>
          <c:orientation val="minMax"/>
        </c:scaling>
        <c:axPos val="l"/>
        <c:majorGridlines/>
        <c:numFmt formatCode="0;[Red]\-0" sourceLinked="1"/>
        <c:tickLblPos val="nextTo"/>
        <c:crossAx val="179544064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</c:legendEntry>
      <c:spPr>
        <a:solidFill>
          <a:schemeClr val="bg1"/>
        </a:solidFill>
      </c:sp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1039</c:v>
                </c:pt>
                <c:pt idx="1">
                  <c:v>963</c:v>
                </c:pt>
                <c:pt idx="2">
                  <c:v>798</c:v>
                </c:pt>
                <c:pt idx="3">
                  <c:v>658</c:v>
                </c:pt>
                <c:pt idx="4">
                  <c:v>258</c:v>
                </c:pt>
                <c:pt idx="5">
                  <c:v>810</c:v>
                </c:pt>
                <c:pt idx="6">
                  <c:v>508</c:v>
                </c:pt>
                <c:pt idx="7">
                  <c:v>584</c:v>
                </c:pt>
                <c:pt idx="8" formatCode="0.00">
                  <c:v>330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0.00</c:formatCode>
                <c:ptCount val="9"/>
                <c:pt idx="0">
                  <c:v>309</c:v>
                </c:pt>
                <c:pt idx="1">
                  <c:v>561</c:v>
                </c:pt>
                <c:pt idx="2">
                  <c:v>887</c:v>
                </c:pt>
                <c:pt idx="3">
                  <c:v>579</c:v>
                </c:pt>
                <c:pt idx="4">
                  <c:v>270</c:v>
                </c:pt>
                <c:pt idx="5">
                  <c:v>933</c:v>
                </c:pt>
                <c:pt idx="6">
                  <c:v>598</c:v>
                </c:pt>
                <c:pt idx="7">
                  <c:v>479</c:v>
                </c:pt>
                <c:pt idx="8">
                  <c:v>420</c:v>
                </c:pt>
              </c:numCache>
            </c:numRef>
          </c:val>
        </c:ser>
        <c:axId val="172185472"/>
        <c:axId val="172187008"/>
      </c:barChart>
      <c:catAx>
        <c:axId val="172185472"/>
        <c:scaling>
          <c:orientation val="minMax"/>
        </c:scaling>
        <c:axPos val="b"/>
        <c:numFmt formatCode="General" sourceLinked="1"/>
        <c:tickLblPos val="nextTo"/>
        <c:crossAx val="172187008"/>
        <c:crosses val="autoZero"/>
        <c:auto val="1"/>
        <c:lblAlgn val="ctr"/>
        <c:lblOffset val="100"/>
      </c:catAx>
      <c:valAx>
        <c:axId val="172187008"/>
        <c:scaling>
          <c:orientation val="minMax"/>
        </c:scaling>
        <c:axPos val="l"/>
        <c:majorGridlines/>
        <c:numFmt formatCode="0" sourceLinked="1"/>
        <c:tickLblPos val="nextTo"/>
        <c:crossAx val="17218547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spPr>
        <a:ln>
          <a:noFill/>
        </a:ln>
      </c:spPr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Статьи затрат в процентах в 2013 году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02745964740322"/>
          <c:y val="3.741814780168382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5593508557909139E-2"/>
          <c:y val="1.2797347699958562E-3"/>
          <c:w val="0.57880324516356163"/>
          <c:h val="0.7692542003173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Статьи затрат в %</c:v>
                </c:pt>
              </c:strCache>
            </c:strRef>
          </c:tx>
          <c:dLbls>
            <c:dLbl>
              <c:idx val="0"/>
              <c:layout>
                <c:manualLayout>
                  <c:x val="-3.1834564493871259E-2"/>
                  <c:y val="-1.2163175959280421E-2"/>
                </c:manualLayout>
              </c:layout>
              <c:showVal val="1"/>
            </c:dLbl>
            <c:dLbl>
              <c:idx val="1"/>
              <c:layout>
                <c:manualLayout>
                  <c:x val="-4.4216551615722157E-3"/>
                  <c:y val="-5.8688854842630131E-2"/>
                </c:manualLayout>
              </c:layout>
              <c:showVal val="1"/>
            </c:dLbl>
            <c:dLbl>
              <c:idx val="2"/>
              <c:layout>
                <c:manualLayout>
                  <c:x val="4.2579792029813074E-3"/>
                  <c:y val="-3.0625612280223636E-2"/>
                </c:manualLayout>
              </c:layout>
              <c:showVal val="1"/>
            </c:dLbl>
            <c:dLbl>
              <c:idx val="3"/>
              <c:layout>
                <c:manualLayout>
                  <c:x val="-1.0645225424332237E-2"/>
                  <c:y val="-2.1876358065157672E-3"/>
                </c:manualLayout>
              </c:layout>
              <c:showVal val="1"/>
            </c:dLbl>
            <c:dLbl>
              <c:idx val="4"/>
              <c:layout>
                <c:manualLayout>
                  <c:x val="1.0656167979002618E-2"/>
                  <c:y val="-8.499097933399629E-3"/>
                </c:manualLayout>
              </c:layout>
              <c:showVal val="1"/>
            </c:dLbl>
            <c:dLbl>
              <c:idx val="5"/>
              <c:layout>
                <c:manualLayout>
                  <c:x val="2.5049029953730009E-2"/>
                  <c:y val="-6.9663255655796202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Расходы на оплату труда</c:v>
                </c:pt>
                <c:pt idx="1">
                  <c:v>Аренда</c:v>
                </c:pt>
                <c:pt idx="2">
                  <c:v>Взносы в национальное объединение саморегулируемой организации</c:v>
                </c:pt>
                <c:pt idx="3">
                  <c:v>Расходы на служебные командировки</c:v>
                </c:pt>
                <c:pt idx="4">
                  <c:v>Расходы на приобретение материалов, оказания услуг и выполнение работ</c:v>
                </c:pt>
                <c:pt idx="5">
                  <c:v>Отчисления и налоги</c:v>
                </c:pt>
                <c:pt idx="6">
                  <c:v>Расходы на благотворительность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26.97</c:v>
                </c:pt>
                <c:pt idx="1">
                  <c:v>2.67</c:v>
                </c:pt>
                <c:pt idx="2">
                  <c:v>4.6599999999999975</c:v>
                </c:pt>
                <c:pt idx="3">
                  <c:v>6.9</c:v>
                </c:pt>
                <c:pt idx="4">
                  <c:v>41.01</c:v>
                </c:pt>
                <c:pt idx="5">
                  <c:v>15.2</c:v>
                </c:pt>
                <c:pt idx="6">
                  <c:v>2.59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12433736275923256"/>
          <c:y val="0.70741428374084758"/>
          <c:w val="0.78418893941074252"/>
          <c:h val="0.29258571625915225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Компенсационный фонд (тыс. руб.)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Компенсационный фонд (тыс. руб.)</c:v>
                </c:pt>
              </c:strCache>
            </c:strRef>
          </c:tx>
          <c:dLbls>
            <c:dLbl>
              <c:idx val="0"/>
              <c:layout>
                <c:manualLayout>
                  <c:x val="-0.12011938611840187"/>
                  <c:y val="-0.32523559555055631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2008-2012</c:v>
                </c:pt>
                <c:pt idx="1">
                  <c:v>2013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1890</c:v>
                </c:pt>
                <c:pt idx="1">
                  <c:v>100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3908-CBCB-40A4-AA9B-E783D9B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BOSS_ORU</cp:lastModifiedBy>
  <cp:revision>15</cp:revision>
  <cp:lastPrinted>2013-10-28T14:53:00Z</cp:lastPrinted>
  <dcterms:created xsi:type="dcterms:W3CDTF">2013-10-31T08:04:00Z</dcterms:created>
  <dcterms:modified xsi:type="dcterms:W3CDTF">2013-11-01T08:18:00Z</dcterms:modified>
</cp:coreProperties>
</file>