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DE" w:rsidRPr="00B77CA8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vertAlign w:val="superscript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ОТЧЕТ</w:t>
      </w: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ИСПОЛНИТЕЛЬНОГО ОРГАНА</w:t>
      </w: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НЕКОММЕРЧЕСКОЕ ПАРТНЕРСТВО</w:t>
      </w: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</w:t>
      </w:r>
      <w:r w:rsidR="00F27E03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6BDE" w:rsidRDefault="002D6BDE" w:rsidP="002D6BD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Некоммерческое партнерство «Балтийское объединение специализированных подрядчиков в области энергетического обследования «БалтЭнергоЭффект»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Некоммерческое партнерство «Балтийское объединение специализированных подрядчиков в области энергетического обследования «БалтЭнергоЭффект» (далее – НП «БалтЭнергоЭффект» или Партнерство) учреждено 25 марта 2010 года.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сентября 2010 года Партнерству присвоен статус саморегулируемой организации, основанной на членстве лиц, выполняющих энергетическое обследование (регистрационный номер в  государственном реестре – СРО-Э-022).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ED3">
        <w:rPr>
          <w:rFonts w:ascii="Times New Roman" w:hAnsi="Times New Roman"/>
          <w:sz w:val="24"/>
          <w:szCs w:val="24"/>
        </w:rPr>
        <w:t>Сегодня Партнерство объединяет</w:t>
      </w:r>
      <w:r w:rsidR="00DF29E6">
        <w:rPr>
          <w:rFonts w:ascii="Times New Roman" w:hAnsi="Times New Roman"/>
          <w:sz w:val="24"/>
          <w:szCs w:val="24"/>
        </w:rPr>
        <w:t xml:space="preserve"> около </w:t>
      </w:r>
      <w:bookmarkStart w:id="0" w:name="_GoBack"/>
      <w:r w:rsidR="00DF29E6" w:rsidRPr="00DF29E6">
        <w:rPr>
          <w:rFonts w:ascii="Times New Roman" w:hAnsi="Times New Roman"/>
          <w:b/>
          <w:sz w:val="24"/>
          <w:szCs w:val="24"/>
        </w:rPr>
        <w:t>80 компаний</w:t>
      </w:r>
      <w:bookmarkEnd w:id="0"/>
      <w:r w:rsidRPr="00470ED3">
        <w:rPr>
          <w:rFonts w:ascii="Times New Roman" w:hAnsi="Times New Roman"/>
          <w:sz w:val="24"/>
          <w:szCs w:val="24"/>
        </w:rPr>
        <w:t>, среди которых не только энергоаудиторские организации Санкт-Петербурга, Ленинградской области, Северо-Западного региона, но и организации Москвы, Приволжского, Сибирского, Южного, Северо-Кавказского регионов.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F71430">
        <w:rPr>
          <w:rFonts w:ascii="Times New Roman" w:hAnsi="Times New Roman"/>
          <w:sz w:val="24"/>
          <w:szCs w:val="24"/>
        </w:rPr>
        <w:t xml:space="preserve">НП «БалтЭнергоЭффект» является </w:t>
      </w:r>
      <w:r w:rsidRPr="00D90C71">
        <w:rPr>
          <w:rFonts w:ascii="Times New Roman" w:hAnsi="Times New Roman"/>
          <w:sz w:val="24"/>
          <w:szCs w:val="24"/>
        </w:rPr>
        <w:t>членом Национального объединения организаций в области</w:t>
      </w:r>
      <w:r w:rsidR="00F27E03" w:rsidRPr="00D90C71">
        <w:rPr>
          <w:rFonts w:ascii="Times New Roman" w:hAnsi="Times New Roman"/>
          <w:sz w:val="24"/>
          <w:szCs w:val="24"/>
        </w:rPr>
        <w:t xml:space="preserve"> энергосбережения и повышения</w:t>
      </w:r>
      <w:r w:rsidRPr="00D90C71">
        <w:rPr>
          <w:rFonts w:ascii="Times New Roman" w:hAnsi="Times New Roman"/>
          <w:sz w:val="24"/>
          <w:szCs w:val="24"/>
        </w:rPr>
        <w:t xml:space="preserve"> энергетическо</w:t>
      </w:r>
      <w:r w:rsidR="00F27E03" w:rsidRPr="00D90C71">
        <w:rPr>
          <w:rFonts w:ascii="Times New Roman" w:hAnsi="Times New Roman"/>
          <w:sz w:val="24"/>
          <w:szCs w:val="24"/>
        </w:rPr>
        <w:t>й эффективности, Санкт-Петербургской торгово-промышленной палаты.</w:t>
      </w:r>
    </w:p>
    <w:p w:rsidR="002D6BDE" w:rsidRDefault="002D6BDE" w:rsidP="002D6BD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2D6BDE" w:rsidRDefault="002D6BDE" w:rsidP="002D6B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ПАРТНЕРСТВА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основной целью Партнерства является совершенствование деятельности Партнерства и его членов, повышение качества энергетического обследования и энергетических паспортов, а также обеспечение экспертизы и учета копий паспортов в Минэнерго России.</w:t>
      </w:r>
    </w:p>
    <w:p w:rsidR="002D6BDE" w:rsidRDefault="002D6BDE" w:rsidP="002D6BDE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По-прежнему целями работы Партнерства являются </w:t>
      </w:r>
      <w:r>
        <w:rPr>
          <w:rFonts w:ascii="Times New Roman" w:hAnsi="Times New Roman"/>
          <w:sz w:val="24"/>
          <w:szCs w:val="24"/>
        </w:rPr>
        <w:t>защита интересов компаний, входящих в Партнерство и представление их интересов в органах государственной власти, органах местного самоуправления, методическое обеспечение, а также активная информационная политика, содействие компаниям-членам в решении текущих проблем.</w:t>
      </w:r>
    </w:p>
    <w:p w:rsidR="00F27E03" w:rsidRPr="0043609B" w:rsidRDefault="00F27E03" w:rsidP="00F27E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09B">
        <w:rPr>
          <w:rFonts w:ascii="Times New Roman" w:hAnsi="Times New Roman"/>
          <w:sz w:val="24"/>
          <w:szCs w:val="24"/>
        </w:rPr>
        <w:t xml:space="preserve">Кроме этого вопросы обеспечения </w:t>
      </w:r>
      <w:proofErr w:type="spellStart"/>
      <w:r w:rsidRPr="0043609B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43609B">
        <w:rPr>
          <w:rFonts w:ascii="Times New Roman" w:hAnsi="Times New Roman"/>
          <w:sz w:val="24"/>
          <w:szCs w:val="24"/>
        </w:rPr>
        <w:t xml:space="preserve"> контрактов в интересах </w:t>
      </w:r>
      <w:proofErr w:type="spellStart"/>
      <w:r w:rsidRPr="0043609B">
        <w:rPr>
          <w:rFonts w:ascii="Times New Roman" w:hAnsi="Times New Roman"/>
          <w:sz w:val="24"/>
          <w:szCs w:val="24"/>
        </w:rPr>
        <w:t>энергопотребителей</w:t>
      </w:r>
      <w:proofErr w:type="spellEnd"/>
      <w:r w:rsidRPr="0043609B">
        <w:rPr>
          <w:rFonts w:ascii="Times New Roman" w:hAnsi="Times New Roman"/>
          <w:sz w:val="24"/>
          <w:szCs w:val="24"/>
        </w:rPr>
        <w:t>, у которых было осуществлено энергетическое обследование и есть разработанная программа по повышению энергоэффективности.</w:t>
      </w:r>
    </w:p>
    <w:p w:rsidR="00F27E03" w:rsidRDefault="00F27E03" w:rsidP="00F27E0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BDE" w:rsidRDefault="002D6BDE" w:rsidP="002D6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BDE" w:rsidRPr="00CB389A" w:rsidRDefault="002D6BDE" w:rsidP="002D6BD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 ПАРТНЕРСТВА</w:t>
      </w:r>
    </w:p>
    <w:p w:rsidR="002D6BDE" w:rsidRPr="00CB389A" w:rsidRDefault="002D6BDE" w:rsidP="002D6BD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BDE" w:rsidRPr="00CB389A" w:rsidRDefault="002D6BDE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Реализация политики саморегулирования в области энергетического обследования.</w:t>
      </w:r>
    </w:p>
    <w:p w:rsidR="002D6BDE" w:rsidRPr="00CB389A" w:rsidRDefault="002D6BDE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Разработка и утверждение дополнительных требований к стандартам и правилам,   регулирующим деятельность</w:t>
      </w:r>
      <w:r w:rsidRPr="00CB3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области энергетического обследования, методических рекомендаций по проведению энергетического обследования объектов различного назначения, оформлению энергетического паспорта, определения стоимости энергоаудита.</w:t>
      </w:r>
    </w:p>
    <w:p w:rsidR="002D6BDE" w:rsidRPr="00CB389A" w:rsidRDefault="002D6BDE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нормативно-правовой базы в области энергетического обследования.</w:t>
      </w:r>
    </w:p>
    <w:p w:rsidR="002D6BDE" w:rsidRPr="00CB389A" w:rsidRDefault="002D6BDE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hAnsi="Times New Roman"/>
          <w:sz w:val="24"/>
          <w:szCs w:val="24"/>
        </w:rPr>
        <w:t xml:space="preserve">Участие в </w:t>
      </w: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разработке</w:t>
      </w:r>
      <w:r w:rsidR="00F27E0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законодательных и подзаконных актов,</w:t>
      </w: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нормативно-методических документов </w:t>
      </w:r>
      <w:r w:rsidRPr="00CB389A">
        <w:rPr>
          <w:rFonts w:ascii="Times New Roman" w:hAnsi="Times New Roman"/>
          <w:sz w:val="24"/>
          <w:szCs w:val="24"/>
        </w:rPr>
        <w:t xml:space="preserve">в составе Национального объединения </w:t>
      </w:r>
      <w:r w:rsidR="00F27E03">
        <w:rPr>
          <w:rFonts w:ascii="Times New Roman" w:hAnsi="Times New Roman"/>
          <w:sz w:val="24"/>
          <w:szCs w:val="24"/>
        </w:rPr>
        <w:t xml:space="preserve">организаций </w:t>
      </w:r>
      <w:r w:rsidRPr="00CB389A">
        <w:rPr>
          <w:rFonts w:ascii="Times New Roman" w:hAnsi="Times New Roman"/>
          <w:sz w:val="24"/>
          <w:szCs w:val="24"/>
        </w:rPr>
        <w:t>в области</w:t>
      </w:r>
      <w:r w:rsidR="00F27E03">
        <w:rPr>
          <w:rFonts w:ascii="Times New Roman" w:hAnsi="Times New Roman"/>
          <w:sz w:val="24"/>
          <w:szCs w:val="24"/>
        </w:rPr>
        <w:t xml:space="preserve"> энергосбережения и повышения </w:t>
      </w:r>
      <w:r w:rsidRPr="00CB389A">
        <w:rPr>
          <w:rFonts w:ascii="Times New Roman" w:hAnsi="Times New Roman"/>
          <w:sz w:val="24"/>
          <w:szCs w:val="24"/>
        </w:rPr>
        <w:t xml:space="preserve"> энергетическо</w:t>
      </w:r>
      <w:r w:rsidR="00F27E03">
        <w:rPr>
          <w:rFonts w:ascii="Times New Roman" w:hAnsi="Times New Roman"/>
          <w:sz w:val="24"/>
          <w:szCs w:val="24"/>
        </w:rPr>
        <w:t>й эффективности</w:t>
      </w:r>
      <w:r>
        <w:rPr>
          <w:rFonts w:ascii="Times New Roman" w:hAnsi="Times New Roman"/>
          <w:sz w:val="24"/>
          <w:szCs w:val="24"/>
        </w:rPr>
        <w:t xml:space="preserve"> (НОЭ)</w:t>
      </w:r>
      <w:r w:rsidR="00F27E03">
        <w:rPr>
          <w:rFonts w:ascii="Times New Roman" w:hAnsi="Times New Roman"/>
          <w:sz w:val="24"/>
          <w:szCs w:val="24"/>
        </w:rPr>
        <w:t>.</w:t>
      </w:r>
    </w:p>
    <w:p w:rsidR="002D6BDE" w:rsidRPr="00CB389A" w:rsidRDefault="002D6BDE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Взаимодействие с органами государственной власти, общественными организациями и СМИ, международными неправительственными организациями, осуществляющими деятельность в сфере, близкой Партнерству по целям.</w:t>
      </w:r>
    </w:p>
    <w:p w:rsidR="00F27E03" w:rsidRDefault="00F27E03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Активизация деятельности по реализации программ энергосбережения и повышения энергетической эффективности.</w:t>
      </w:r>
    </w:p>
    <w:p w:rsidR="002D6BDE" w:rsidRPr="00CB389A" w:rsidRDefault="002D6BDE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поддержание высокого профессионального уровня специалистов в области энергетического обследования, повышение их квалификации. </w:t>
      </w:r>
    </w:p>
    <w:p w:rsidR="002D6BDE" w:rsidRPr="00CB389A" w:rsidRDefault="002D6BDE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Защита прав субъектов деятельности в области энергетического обследования.</w:t>
      </w:r>
    </w:p>
    <w:p w:rsidR="002D6BDE" w:rsidRDefault="002D6BDE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Обеспечение информационной открытости деятельности Партнерства и его членов.</w:t>
      </w:r>
    </w:p>
    <w:p w:rsidR="002D6BDE" w:rsidRPr="00F71430" w:rsidRDefault="002D6BDE" w:rsidP="002D6BD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430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конференций по энерго-и ресурсосбережению, повышению энергетической эффективности с руководителями органов государственной власти, местного самоуправления, бюджетных организаций.</w:t>
      </w:r>
    </w:p>
    <w:p w:rsidR="002D6BDE" w:rsidRDefault="002D6BDE" w:rsidP="002D6B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ПАРТНЕРСТВА</w:t>
      </w:r>
    </w:p>
    <w:p w:rsidR="002D6BDE" w:rsidRDefault="002D6BDE" w:rsidP="002D6BD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653155"/>
            <wp:effectExtent l="19050" t="0" r="3175" b="0"/>
            <wp:docPr id="3" name="Рисунок 2" descr="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РАБОТЫ ИСПОЛНИТЕЛЬНОГО ОРГАНА В 201</w:t>
      </w:r>
      <w:r w:rsidR="00E366F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Единоличным исполнительным органом </w:t>
      </w:r>
      <w:r w:rsidRPr="00417B82">
        <w:rPr>
          <w:rFonts w:ascii="Times New Roman" w:hAnsi="Times New Roman"/>
          <w:b/>
          <w:sz w:val="24"/>
          <w:szCs w:val="24"/>
        </w:rPr>
        <w:t>П</w:t>
      </w:r>
      <w:r>
        <w:rPr>
          <w:rStyle w:val="a5"/>
          <w:rFonts w:ascii="Times New Roman" w:hAnsi="Times New Roman"/>
          <w:sz w:val="24"/>
          <w:szCs w:val="24"/>
        </w:rPr>
        <w:t xml:space="preserve">артнерства </w:t>
      </w:r>
      <w:r>
        <w:rPr>
          <w:rFonts w:ascii="Times New Roman" w:hAnsi="Times New Roman"/>
          <w:sz w:val="24"/>
          <w:szCs w:val="24"/>
        </w:rPr>
        <w:t>является Директор Партнерства. К компетенции Директора относятся все вопросы руководства текущей деятельностью Партнерства, за исключением вопросов, отнесенных к компетенции Общего собрания членов Партнерства, Совета Партнерства.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БЫКОВ Владимир Леонидович</w:t>
      </w:r>
    </w:p>
    <w:p w:rsidR="002D6BDE" w:rsidRPr="00F81FDE" w:rsidRDefault="002D6BDE" w:rsidP="002D6BD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81FDE">
        <w:rPr>
          <w:rStyle w:val="a5"/>
          <w:rFonts w:ascii="Times New Roman" w:hAnsi="Times New Roman"/>
          <w:sz w:val="24"/>
          <w:szCs w:val="24"/>
        </w:rPr>
        <w:t xml:space="preserve">Член Совета Национального объединения </w:t>
      </w:r>
      <w:r w:rsidR="00E366F6">
        <w:rPr>
          <w:rStyle w:val="a5"/>
          <w:rFonts w:ascii="Times New Roman" w:hAnsi="Times New Roman"/>
          <w:sz w:val="24"/>
          <w:szCs w:val="24"/>
        </w:rPr>
        <w:t xml:space="preserve">организаций </w:t>
      </w:r>
      <w:r w:rsidRPr="00F81FDE">
        <w:rPr>
          <w:rStyle w:val="a5"/>
          <w:rFonts w:ascii="Times New Roman" w:hAnsi="Times New Roman"/>
          <w:sz w:val="24"/>
          <w:szCs w:val="24"/>
        </w:rPr>
        <w:t>в области</w:t>
      </w:r>
      <w:r w:rsidR="00E366F6">
        <w:rPr>
          <w:rStyle w:val="a5"/>
          <w:rFonts w:ascii="Times New Roman" w:hAnsi="Times New Roman"/>
          <w:sz w:val="24"/>
          <w:szCs w:val="24"/>
        </w:rPr>
        <w:t xml:space="preserve"> энергосбережения о повышения </w:t>
      </w:r>
      <w:r w:rsidRPr="00F81FDE">
        <w:rPr>
          <w:rStyle w:val="a5"/>
          <w:rFonts w:ascii="Times New Roman" w:hAnsi="Times New Roman"/>
          <w:sz w:val="24"/>
          <w:szCs w:val="24"/>
        </w:rPr>
        <w:t>энергетическо</w:t>
      </w:r>
      <w:r w:rsidR="00E366F6">
        <w:rPr>
          <w:rStyle w:val="a5"/>
          <w:rFonts w:ascii="Times New Roman" w:hAnsi="Times New Roman"/>
          <w:sz w:val="24"/>
          <w:szCs w:val="24"/>
        </w:rPr>
        <w:t>й</w:t>
      </w:r>
      <w:r w:rsidRPr="00F81FDE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E366F6">
        <w:rPr>
          <w:rStyle w:val="a5"/>
          <w:rFonts w:ascii="Times New Roman" w:hAnsi="Times New Roman"/>
          <w:sz w:val="24"/>
          <w:szCs w:val="24"/>
        </w:rPr>
        <w:t xml:space="preserve">эффективности </w:t>
      </w:r>
      <w:r>
        <w:rPr>
          <w:rStyle w:val="a5"/>
          <w:rFonts w:ascii="Times New Roman" w:hAnsi="Times New Roman"/>
          <w:sz w:val="24"/>
          <w:szCs w:val="24"/>
        </w:rPr>
        <w:t>(НОЭ)</w:t>
      </w:r>
      <w:r w:rsidRPr="00F81FDE"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197D89">
        <w:rPr>
          <w:rStyle w:val="a5"/>
          <w:rFonts w:ascii="Times New Roman" w:hAnsi="Times New Roman"/>
          <w:color w:val="000000"/>
          <w:sz w:val="24"/>
          <w:szCs w:val="24"/>
        </w:rPr>
        <w:t xml:space="preserve">вице-президент Национального объединения проектировщиков, член Совета Национального объединения проектировщиков, координатор Национального объединения проектировщиков по СЗФО, </w:t>
      </w:r>
      <w:r w:rsidRPr="00197D89">
        <w:rPr>
          <w:rStyle w:val="a5"/>
          <w:rFonts w:ascii="Times New Roman" w:hAnsi="Times New Roman"/>
          <w:sz w:val="24"/>
          <w:szCs w:val="24"/>
        </w:rPr>
        <w:t xml:space="preserve">член Совета Национального объединения изыскателей, </w:t>
      </w:r>
      <w:r w:rsidRPr="00F81FDE">
        <w:rPr>
          <w:rStyle w:val="a5"/>
          <w:rFonts w:ascii="Times New Roman" w:hAnsi="Times New Roman"/>
          <w:sz w:val="24"/>
          <w:szCs w:val="24"/>
        </w:rPr>
        <w:t xml:space="preserve"> председатель Комитета по предпринимательству в сфере строительства и рынку недвижимости Санкт-Петербургской торгово-промышленной палаты, </w:t>
      </w:r>
      <w:r w:rsidRPr="00F81FDE">
        <w:rPr>
          <w:rFonts w:ascii="Times New Roman" w:hAnsi="Times New Roman"/>
          <w:b w:val="0"/>
          <w:color w:val="000000"/>
          <w:sz w:val="24"/>
          <w:szCs w:val="24"/>
        </w:rPr>
        <w:t xml:space="preserve">член попечительского Совета </w:t>
      </w:r>
      <w:r w:rsidRPr="00F81FDE">
        <w:rPr>
          <w:rFonts w:ascii="Times New Roman" w:hAnsi="Times New Roman"/>
          <w:b w:val="0"/>
          <w:sz w:val="24"/>
          <w:szCs w:val="24"/>
        </w:rPr>
        <w:t xml:space="preserve">Санкт-Петербургского отделения Общероссийского общественного Фонда «Центр качества строительства», </w:t>
      </w:r>
      <w:r>
        <w:rPr>
          <w:rFonts w:ascii="Times New Roman" w:hAnsi="Times New Roman"/>
          <w:b w:val="0"/>
          <w:sz w:val="24"/>
          <w:szCs w:val="24"/>
        </w:rPr>
        <w:t>член наблюдательного Совета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Рейтингового агентства строительного комплекса, </w:t>
      </w:r>
      <w:r w:rsidRPr="00F81FDE">
        <w:rPr>
          <w:rFonts w:ascii="Times New Roman" w:hAnsi="Times New Roman"/>
          <w:b w:val="0"/>
          <w:sz w:val="24"/>
          <w:szCs w:val="24"/>
        </w:rPr>
        <w:t>кандидат технических наук, Почетный строитель России.</w:t>
      </w:r>
    </w:p>
    <w:p w:rsidR="002D6BDE" w:rsidRDefault="002D6BDE" w:rsidP="002D6B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BDE" w:rsidRPr="0053405D" w:rsidRDefault="00846519" w:rsidP="002D6BDE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D6BDE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оветник директора Партнерства </w:t>
      </w:r>
      <w:r w:rsidR="002D6BDE" w:rsidRPr="0095105A">
        <w:rPr>
          <w:rFonts w:ascii="Times New Roman" w:eastAsia="Times New Roman" w:hAnsi="Times New Roman"/>
          <w:b/>
          <w:sz w:val="24"/>
          <w:szCs w:val="24"/>
          <w:lang w:eastAsia="ru-RU"/>
        </w:rPr>
        <w:t>Журавлев Александр Александрович</w:t>
      </w:r>
      <w:r w:rsidR="002D6BDE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председателя Комитета по нормативно-методической работе и унификации документов НОЭ, заместитель председателя Комитета по предпринимательству и рынку недвижимости Санкт-Петербургской торгово-промышленной палаты, член Комитета по обеспечению энергоэффективности объектов капитального строительства при Координационном совете  по развитию строительной отрасли Северо-Западного федерального округа, член </w:t>
      </w:r>
      <w:r w:rsidR="002D6BDE" w:rsidRPr="0053405D">
        <w:rPr>
          <w:rFonts w:ascii="Times New Roman" w:hAnsi="Times New Roman"/>
          <w:sz w:val="24"/>
          <w:szCs w:val="24"/>
        </w:rPr>
        <w:t>подкомитета по проектированию сетей и систем инженерно-технического обеспечения зданий и сооружений Комитета нормативно-технической документации</w:t>
      </w:r>
      <w:proofErr w:type="gramEnd"/>
      <w:r w:rsidR="002D6BDE" w:rsidRPr="0053405D">
        <w:rPr>
          <w:rFonts w:ascii="Times New Roman" w:hAnsi="Times New Roman"/>
          <w:sz w:val="24"/>
          <w:szCs w:val="24"/>
        </w:rPr>
        <w:t xml:space="preserve"> для объектов промышленного и гражданского назначения НОП</w:t>
      </w:r>
      <w:r w:rsidR="002D6BDE">
        <w:rPr>
          <w:rFonts w:ascii="Times New Roman" w:hAnsi="Times New Roman"/>
          <w:sz w:val="24"/>
          <w:szCs w:val="24"/>
        </w:rPr>
        <w:t>, член Комитета нормативно-технической документации для объектов промышленного и гражданского назначения, доктор технических наук, профессор, почетный энергетик Российской Федерации.</w:t>
      </w:r>
    </w:p>
    <w:p w:rsidR="002D6BDE" w:rsidRDefault="002D6BDE" w:rsidP="002D6BDE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  <w:rFonts w:eastAsia="Calibri"/>
        </w:rPr>
        <w:t>Директор</w:t>
      </w:r>
      <w:r>
        <w:t xml:space="preserve"> осуществляет руководство текущей деятельностью </w:t>
      </w:r>
      <w:r w:rsidRPr="001F0295">
        <w:rPr>
          <w:b/>
        </w:rPr>
        <w:t>П</w:t>
      </w:r>
      <w:r>
        <w:rPr>
          <w:rStyle w:val="a5"/>
          <w:rFonts w:eastAsia="Calibri"/>
        </w:rPr>
        <w:t>артнерства</w:t>
      </w:r>
      <w:r>
        <w:t xml:space="preserve">, организует выполнение решений Общего собрания членов Партнерства и Совета Партнерства. </w:t>
      </w:r>
    </w:p>
    <w:p w:rsidR="002D6BDE" w:rsidRDefault="002D6BDE" w:rsidP="002D6BDE">
      <w:pPr>
        <w:pStyle w:val="a3"/>
        <w:spacing w:before="0" w:beforeAutospacing="0" w:after="0" w:afterAutospacing="0"/>
        <w:rPr>
          <w:rStyle w:val="a5"/>
          <w:rFonts w:eastAsia="Calibri"/>
          <w:b w:val="0"/>
        </w:rPr>
      </w:pPr>
    </w:p>
    <w:p w:rsidR="002D6BDE" w:rsidRDefault="002D6BDE" w:rsidP="002D6BDE">
      <w:pPr>
        <w:pStyle w:val="a3"/>
        <w:spacing w:before="0" w:beforeAutospacing="0" w:after="0" w:afterAutospacing="0"/>
        <w:ind w:firstLine="567"/>
        <w:rPr>
          <w:rFonts w:eastAsia="Calibri"/>
        </w:rPr>
      </w:pPr>
      <w:r>
        <w:rPr>
          <w:rStyle w:val="a5"/>
          <w:rFonts w:eastAsia="Calibri"/>
        </w:rPr>
        <w:t>Директор Партнерства осуществляет следующие функции:</w:t>
      </w:r>
      <w:r>
        <w:t xml:space="preserve"> </w:t>
      </w:r>
    </w:p>
    <w:p w:rsidR="002D6BDE" w:rsidRDefault="002D6BDE" w:rsidP="002D6BDE">
      <w:pPr>
        <w:pStyle w:val="a3"/>
        <w:spacing w:before="0" w:beforeAutospacing="0" w:after="0" w:afterAutospacing="0"/>
        <w:ind w:firstLine="567"/>
      </w:pP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руководит работой Партнерства в соответствии с его программами и планами;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без доверенности действует от имени Партнерства, совершает сделки, иные юридические действия и акты, самостоятельно распоряжается имуществом Партнерства в пределах утвержденной сметы Партнерства;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представляет Партнерство во всех государственных органах, учреждениях и  организациях, в отношениях со всеми третьими лицами, как в Российской Федерации, так и за границей;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открывает </w:t>
      </w:r>
      <w:proofErr w:type="gramStart"/>
      <w:r>
        <w:t>расчетный</w:t>
      </w:r>
      <w:proofErr w:type="gramEnd"/>
      <w:r>
        <w:t xml:space="preserve"> и иные счета Партнерства в банках;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издает приказы, распоряжения, дает указания, обязательные для исполнения работниками Партнерства, утверждает правила внутреннего трудового распорядка и обеспечивает их соблюдение;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по согласованию с Советом партнерства утверждает штатное расписание, утверждает Положения об оплате труда, должностные инструкции и другие положения, регламентирующие условия труда работников Партнерства;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принимает на работу и увольняет работников Партнерства, применяет к ним меры дисциплинарного воздействия в соответствии с законодательством Российской Федерации о труде;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обеспечивает выполнение решений Общего собрания членов Партнерства и Совета партнерства и несет ответственность за деятельность Партнерства перед Общим собранием членов Партнерства и Советом партнерства;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организует учет и отчетность Партнерства, несет ответственность за ее достоверность;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представляет на утверждение Совета партнерства годовой отчет и баланс Партнерства;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выдает доверенности от имени Партнерства;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принимает решения о предъявлении от имени Партнерства претензий и исков к юридическим и физическим лицам и об удовлетворении претензий, предъявляемых к Партнерству;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совместно с Советом партнерства обеспечивает подготовку и проведение Общих собраний членов Партнерства;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организует техническое обеспечение работы Общего собрания членов Партнерства и Совета партнерства;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осуществляет контроль за рациональным и экономным использованием материальных, трудовых и финансовых ресурсов;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 пределах своей компетенции обеспечивает соблюдение законности в деятельности Партнерства;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имеет право присутствовать на заседаниях Совета и специализированных органов Партнерства с правом совещательного голоса</w:t>
      </w:r>
    </w:p>
    <w:p w:rsidR="002D6BDE" w:rsidRDefault="002D6BDE" w:rsidP="002D6BD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решает другие вопросы текущей деятельности Партнерства.</w:t>
      </w:r>
    </w:p>
    <w:p w:rsidR="002D6BDE" w:rsidRDefault="002D6BDE" w:rsidP="002D6BDE">
      <w:pPr>
        <w:pStyle w:val="a3"/>
        <w:spacing w:before="0" w:beforeAutospacing="0" w:after="0" w:afterAutospacing="0"/>
        <w:jc w:val="both"/>
      </w:pP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Общественная деятельность Партнерства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НП «БалтЭнергоЭффект» принимает активное участие в общественной деятельности, взаимодействуя как с всероссийскими,  так и с региональными общественными организациями и объединениями. Партнерство сотрудничает со следующими объединениями:</w:t>
      </w:r>
    </w:p>
    <w:p w:rsidR="00565994" w:rsidRPr="00565994" w:rsidRDefault="002D6BDE" w:rsidP="00565994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Style w:val="a5"/>
          <w:rFonts w:ascii="Times New Roman" w:hAnsi="Times New Roman"/>
          <w:bCs w:val="0"/>
          <w:i/>
          <w:sz w:val="24"/>
          <w:szCs w:val="24"/>
        </w:rPr>
      </w:pPr>
      <w:r w:rsidRPr="00565994">
        <w:rPr>
          <w:rStyle w:val="a5"/>
          <w:rFonts w:ascii="Times New Roman" w:hAnsi="Times New Roman"/>
          <w:i/>
          <w:sz w:val="24"/>
          <w:szCs w:val="24"/>
        </w:rPr>
        <w:t xml:space="preserve">Национальным объединением организаций в области </w:t>
      </w:r>
      <w:r w:rsidR="001C4108" w:rsidRPr="00565994">
        <w:rPr>
          <w:rStyle w:val="a5"/>
          <w:rFonts w:ascii="Times New Roman" w:hAnsi="Times New Roman"/>
          <w:i/>
          <w:sz w:val="24"/>
          <w:szCs w:val="24"/>
        </w:rPr>
        <w:t xml:space="preserve">энергосбережения и повышения </w:t>
      </w:r>
      <w:r w:rsidRPr="00565994">
        <w:rPr>
          <w:rStyle w:val="a5"/>
          <w:rFonts w:ascii="Times New Roman" w:hAnsi="Times New Roman"/>
          <w:i/>
          <w:sz w:val="24"/>
          <w:szCs w:val="24"/>
        </w:rPr>
        <w:t>энергетическ</w:t>
      </w:r>
      <w:r w:rsidR="001C4108" w:rsidRPr="00565994">
        <w:rPr>
          <w:rStyle w:val="a5"/>
          <w:rFonts w:ascii="Times New Roman" w:hAnsi="Times New Roman"/>
          <w:i/>
          <w:sz w:val="24"/>
          <w:szCs w:val="24"/>
        </w:rPr>
        <w:t>ой</w:t>
      </w:r>
      <w:r w:rsidRPr="00565994">
        <w:rPr>
          <w:rStyle w:val="a5"/>
          <w:rFonts w:ascii="Times New Roman" w:hAnsi="Times New Roman"/>
          <w:i/>
          <w:sz w:val="24"/>
          <w:szCs w:val="24"/>
        </w:rPr>
        <w:t xml:space="preserve"> </w:t>
      </w:r>
      <w:r w:rsidR="001C4108" w:rsidRPr="00565994">
        <w:rPr>
          <w:rStyle w:val="a5"/>
          <w:rFonts w:ascii="Times New Roman" w:hAnsi="Times New Roman"/>
          <w:i/>
          <w:sz w:val="24"/>
          <w:szCs w:val="24"/>
        </w:rPr>
        <w:t>эффективности</w:t>
      </w:r>
      <w:r w:rsidRPr="00565994">
        <w:rPr>
          <w:rStyle w:val="a5"/>
          <w:rFonts w:ascii="Times New Roman" w:hAnsi="Times New Roman"/>
          <w:i/>
          <w:sz w:val="24"/>
          <w:szCs w:val="24"/>
        </w:rPr>
        <w:t xml:space="preserve">. </w:t>
      </w:r>
    </w:p>
    <w:p w:rsidR="002D6BDE" w:rsidRDefault="002D6BDE" w:rsidP="0056599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430">
        <w:rPr>
          <w:rFonts w:ascii="Times New Roman" w:hAnsi="Times New Roman"/>
          <w:sz w:val="24"/>
          <w:szCs w:val="24"/>
        </w:rPr>
        <w:t>Директор Партнерства В.Л. Б</w:t>
      </w:r>
      <w:r w:rsidR="00565994">
        <w:rPr>
          <w:rFonts w:ascii="Times New Roman" w:hAnsi="Times New Roman"/>
          <w:sz w:val="24"/>
          <w:szCs w:val="24"/>
        </w:rPr>
        <w:t>ыков является членом Совета НОЭ,</w:t>
      </w:r>
      <w:r w:rsidRPr="00F71430">
        <w:rPr>
          <w:rFonts w:ascii="Times New Roman" w:hAnsi="Times New Roman"/>
          <w:sz w:val="24"/>
          <w:szCs w:val="24"/>
        </w:rPr>
        <w:t xml:space="preserve"> Советник директора Партнерства А.А. Журавлев является членом Комитета по научно-методической работе и унификации документов НОЭ.</w:t>
      </w:r>
      <w:r w:rsidR="003A4B52">
        <w:rPr>
          <w:rFonts w:ascii="Times New Roman" w:hAnsi="Times New Roman"/>
          <w:sz w:val="24"/>
          <w:szCs w:val="24"/>
        </w:rPr>
        <w:t xml:space="preserve"> На заседаниях Комитета были рассмотрены нормативно-методические документы, затрагивающие вопросы энергетического обследования.</w:t>
      </w:r>
    </w:p>
    <w:p w:rsidR="00752FCA" w:rsidRPr="00752FCA" w:rsidRDefault="00752FCA" w:rsidP="0056599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>В рамках этих мероприятий были поставлены вопросы, внесенные в решения конгрессов и секций:</w:t>
      </w:r>
    </w:p>
    <w:p w:rsidR="00752FCA" w:rsidRPr="00752FCA" w:rsidRDefault="00752FCA" w:rsidP="0056599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 xml:space="preserve">- об унификации форм энергетического паспорта, составленного на основании проектной документации, по приказу Минэнерго России от 19.04.2010 № 182 и формы в </w:t>
      </w:r>
      <w:proofErr w:type="spellStart"/>
      <w:r w:rsidRPr="00752FCA">
        <w:rPr>
          <w:rFonts w:ascii="Times New Roman" w:hAnsi="Times New Roman"/>
          <w:sz w:val="24"/>
          <w:szCs w:val="24"/>
        </w:rPr>
        <w:t>СНиП</w:t>
      </w:r>
      <w:proofErr w:type="spellEnd"/>
      <w:r w:rsidRPr="00752FCA">
        <w:rPr>
          <w:rFonts w:ascii="Times New Roman" w:hAnsi="Times New Roman"/>
          <w:sz w:val="24"/>
          <w:szCs w:val="24"/>
        </w:rPr>
        <w:t xml:space="preserve"> 23-02-2003 и СП 50-1330;</w:t>
      </w:r>
    </w:p>
    <w:p w:rsidR="00752FCA" w:rsidRPr="00752FCA" w:rsidRDefault="00752FCA" w:rsidP="0056599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>- о необходимости разработки новых нормативно-методических документов, позволяющих внедрять в проектные разработки новое энергоэффективное оборудование;</w:t>
      </w:r>
    </w:p>
    <w:p w:rsidR="00752FCA" w:rsidRPr="00752FCA" w:rsidRDefault="00752FCA" w:rsidP="0056599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>- о создании нормативной базы по определению стоимости энергоаудита различных категорий объектов (жилых зданий, административных зданий, промышленных предприятий, тепло- и электрогенерирующих предприятий);</w:t>
      </w:r>
    </w:p>
    <w:p w:rsidR="00752FCA" w:rsidRPr="00752FCA" w:rsidRDefault="00752FCA" w:rsidP="0056599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>-  об организации работы по проверке энергоэффективных каче</w:t>
      </w:r>
      <w:proofErr w:type="gramStart"/>
      <w:r w:rsidRPr="00752FCA">
        <w:rPr>
          <w:rFonts w:ascii="Times New Roman" w:hAnsi="Times New Roman"/>
          <w:sz w:val="24"/>
          <w:szCs w:val="24"/>
        </w:rPr>
        <w:t>ств зд</w:t>
      </w:r>
      <w:proofErr w:type="gramEnd"/>
      <w:r w:rsidRPr="00752FCA">
        <w:rPr>
          <w:rFonts w:ascii="Times New Roman" w:hAnsi="Times New Roman"/>
          <w:sz w:val="24"/>
          <w:szCs w:val="24"/>
        </w:rPr>
        <w:t>аний после 5-летнего срока эксплуатации, спроектированных и построенных после вступления в силу Федерального закона №261-ФЗ.</w:t>
      </w:r>
    </w:p>
    <w:p w:rsidR="00752FCA" w:rsidRPr="00F71430" w:rsidRDefault="00752FCA" w:rsidP="00752FCA">
      <w:pPr>
        <w:pStyle w:val="a4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D6BDE" w:rsidRPr="00565994" w:rsidRDefault="002D6BDE" w:rsidP="00565994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565994">
        <w:rPr>
          <w:rFonts w:ascii="Times New Roman" w:hAnsi="Times New Roman"/>
          <w:b/>
          <w:i/>
          <w:sz w:val="24"/>
          <w:szCs w:val="24"/>
        </w:rPr>
        <w:t xml:space="preserve">Российским Союзом строителей (РСС). </w:t>
      </w:r>
    </w:p>
    <w:p w:rsidR="001C4108" w:rsidRDefault="001C4108" w:rsidP="00565994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4108">
        <w:rPr>
          <w:rFonts w:ascii="Times New Roman" w:hAnsi="Times New Roman"/>
          <w:sz w:val="24"/>
          <w:szCs w:val="24"/>
        </w:rPr>
        <w:t xml:space="preserve">В соответствии с предложением президента Российского Союза строителей В.А. Яковлева о внедрении в каждом регионе Российской Федерации новых разработок  по соответствующему направлению деятельности каждого Комитета руководством Совета </w:t>
      </w:r>
      <w:r w:rsidRPr="001C4108">
        <w:rPr>
          <w:rFonts w:ascii="Times New Roman" w:hAnsi="Times New Roman"/>
          <w:sz w:val="24"/>
          <w:szCs w:val="24"/>
        </w:rPr>
        <w:lastRenderedPageBreak/>
        <w:t>Партнерства были проведены  испытания современной жидкой теплоизоляции на основе микросфер на объектах строительства и в системах теплоснабжения Санкт-Петербурга. Указанные испытания определили практическое внедрение современных инновационных разработок</w:t>
      </w:r>
      <w:r>
        <w:rPr>
          <w:rFonts w:ascii="Times New Roman" w:hAnsi="Times New Roman"/>
          <w:sz w:val="24"/>
          <w:szCs w:val="24"/>
        </w:rPr>
        <w:t xml:space="preserve"> в ТГК-1 (ОАО «Теплосеть Санкт-Петербурга»)</w:t>
      </w:r>
      <w:r w:rsidRPr="001C4108">
        <w:rPr>
          <w:rFonts w:ascii="Times New Roman" w:hAnsi="Times New Roman"/>
          <w:sz w:val="24"/>
          <w:szCs w:val="24"/>
        </w:rPr>
        <w:t>. Помимо этог</w:t>
      </w:r>
      <w:r w:rsidR="00C81198">
        <w:rPr>
          <w:rFonts w:ascii="Times New Roman" w:hAnsi="Times New Roman"/>
          <w:sz w:val="24"/>
          <w:szCs w:val="24"/>
        </w:rPr>
        <w:t xml:space="preserve">о совместно с ТУ НП «БСК» по </w:t>
      </w:r>
      <w:proofErr w:type="gramStart"/>
      <w:r w:rsidR="00C81198">
        <w:rPr>
          <w:rFonts w:ascii="Times New Roman" w:hAnsi="Times New Roman"/>
          <w:sz w:val="24"/>
          <w:szCs w:val="24"/>
        </w:rPr>
        <w:t>г</w:t>
      </w:r>
      <w:proofErr w:type="gramEnd"/>
      <w:r w:rsidR="00C81198">
        <w:rPr>
          <w:rFonts w:ascii="Times New Roman" w:hAnsi="Times New Roman"/>
          <w:sz w:val="24"/>
          <w:szCs w:val="24"/>
        </w:rPr>
        <w:t>. </w:t>
      </w:r>
      <w:r w:rsidRPr="001C4108">
        <w:rPr>
          <w:rFonts w:ascii="Times New Roman" w:hAnsi="Times New Roman"/>
          <w:sz w:val="24"/>
          <w:szCs w:val="24"/>
        </w:rPr>
        <w:t xml:space="preserve">Казань была усовершенствована установка децентрализованной приточно-вытяжной вентиляции с рекуперацией тепловой энергии, получившая на выставке «Энергетика и электротехника» диплом «За лучшую энергосберегающую разработку». </w:t>
      </w:r>
    </w:p>
    <w:p w:rsidR="00565994" w:rsidRDefault="00565994" w:rsidP="00565994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работы в комитете </w:t>
      </w:r>
      <w:r w:rsidRPr="00811EE8">
        <w:rPr>
          <w:rFonts w:ascii="Times New Roman" w:hAnsi="Times New Roman"/>
          <w:sz w:val="24"/>
          <w:szCs w:val="24"/>
        </w:rPr>
        <w:t xml:space="preserve">РСС по энергоресурсосбережению, </w:t>
      </w:r>
      <w:r>
        <w:rPr>
          <w:rFonts w:ascii="Times New Roman" w:hAnsi="Times New Roman"/>
          <w:sz w:val="24"/>
          <w:szCs w:val="24"/>
        </w:rPr>
        <w:t xml:space="preserve">Партнерство принимало участие в </w:t>
      </w:r>
      <w:r w:rsidRPr="00811EE8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и</w:t>
      </w:r>
      <w:r w:rsidRPr="00811EE8">
        <w:rPr>
          <w:rFonts w:ascii="Times New Roman" w:hAnsi="Times New Roman"/>
          <w:sz w:val="24"/>
          <w:szCs w:val="24"/>
        </w:rPr>
        <w:t xml:space="preserve"> предложений РСС по созданию и совершенствованию нормативно-технических документов в области энергоресурсосбережения в строительстве, а также разработкой мероприятий в указанной области. </w:t>
      </w:r>
    </w:p>
    <w:p w:rsidR="00565994" w:rsidRDefault="00565994" w:rsidP="00565994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EE8">
        <w:rPr>
          <w:rFonts w:ascii="Times New Roman" w:hAnsi="Times New Roman"/>
          <w:sz w:val="24"/>
          <w:szCs w:val="24"/>
        </w:rPr>
        <w:t>В 2014</w:t>
      </w:r>
      <w:r w:rsidR="00C81198">
        <w:rPr>
          <w:rFonts w:ascii="Times New Roman" w:hAnsi="Times New Roman"/>
          <w:sz w:val="24"/>
          <w:szCs w:val="24"/>
        </w:rPr>
        <w:t xml:space="preserve"> </w:t>
      </w:r>
      <w:r w:rsidRPr="00811EE8">
        <w:rPr>
          <w:rFonts w:ascii="Times New Roman" w:hAnsi="Times New Roman"/>
          <w:sz w:val="24"/>
          <w:szCs w:val="24"/>
        </w:rPr>
        <w:t>году Комитетом направлены предложения по проекту Распоряжения Правительства Российской Федерации «О внесении изменений в Распоряжение Правительства</w:t>
      </w:r>
      <w:r w:rsidR="00C81198">
        <w:rPr>
          <w:rFonts w:ascii="Times New Roman" w:hAnsi="Times New Roman"/>
          <w:sz w:val="24"/>
          <w:szCs w:val="24"/>
        </w:rPr>
        <w:t xml:space="preserve"> </w:t>
      </w:r>
      <w:r w:rsidR="00C81198" w:rsidRPr="00811EE8">
        <w:rPr>
          <w:rFonts w:ascii="Times New Roman" w:hAnsi="Times New Roman"/>
          <w:sz w:val="24"/>
          <w:szCs w:val="24"/>
        </w:rPr>
        <w:t>Российской Федерации</w:t>
      </w:r>
      <w:r w:rsidRPr="00811EE8">
        <w:rPr>
          <w:rFonts w:ascii="Times New Roman" w:hAnsi="Times New Roman"/>
          <w:sz w:val="24"/>
          <w:szCs w:val="24"/>
        </w:rPr>
        <w:t xml:space="preserve"> от 21 июня 2010 г</w:t>
      </w:r>
      <w:r w:rsidR="00C81198">
        <w:rPr>
          <w:rFonts w:ascii="Times New Roman" w:hAnsi="Times New Roman"/>
          <w:sz w:val="24"/>
          <w:szCs w:val="24"/>
        </w:rPr>
        <w:t>ода №</w:t>
      </w:r>
      <w:r w:rsidRPr="00811EE8">
        <w:rPr>
          <w:rFonts w:ascii="Times New Roman" w:hAnsi="Times New Roman"/>
          <w:sz w:val="24"/>
          <w:szCs w:val="24"/>
        </w:rPr>
        <w:t>1047-р», в котором излагался в новой редакции перечень национальных стандартов сводов правил, в результате применения</w:t>
      </w:r>
      <w:r w:rsidR="00C811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которых</w:t>
      </w:r>
      <w:r w:rsidRPr="00811EE8">
        <w:rPr>
          <w:rFonts w:ascii="Times New Roman" w:hAnsi="Times New Roman"/>
          <w:sz w:val="24"/>
          <w:szCs w:val="24"/>
        </w:rPr>
        <w:t xml:space="preserve">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65994" w:rsidRDefault="00565994" w:rsidP="00565994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542">
        <w:rPr>
          <w:rFonts w:ascii="Times New Roman" w:hAnsi="Times New Roman"/>
          <w:sz w:val="24"/>
          <w:szCs w:val="24"/>
        </w:rPr>
        <w:t>Рассмотрен и обсужден Проект Федерального закона</w:t>
      </w:r>
      <w:r w:rsidRPr="003F4542">
        <w:rPr>
          <w:rFonts w:ascii="Times New Roman" w:hAnsi="Times New Roman"/>
        </w:rPr>
        <w:t xml:space="preserve"> </w:t>
      </w:r>
      <w:r w:rsidR="00C81198">
        <w:rPr>
          <w:rFonts w:ascii="Times New Roman" w:hAnsi="Times New Roman"/>
          <w:sz w:val="24"/>
          <w:szCs w:val="24"/>
        </w:rPr>
        <w:t>«</w:t>
      </w:r>
      <w:r w:rsidRPr="003F4542">
        <w:rPr>
          <w:rFonts w:ascii="Times New Roman" w:hAnsi="Times New Roman"/>
          <w:sz w:val="24"/>
          <w:szCs w:val="24"/>
        </w:rPr>
        <w:t xml:space="preserve">О внесении изменений в Федеральный закон </w:t>
      </w:r>
      <w:r w:rsidR="00C81198">
        <w:rPr>
          <w:rFonts w:ascii="Times New Roman" w:hAnsi="Times New Roman"/>
          <w:sz w:val="24"/>
          <w:szCs w:val="24"/>
        </w:rPr>
        <w:t>«</w:t>
      </w:r>
      <w:r w:rsidRPr="003F4542">
        <w:rPr>
          <w:rFonts w:ascii="Times New Roman" w:hAnsi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C81198">
        <w:rPr>
          <w:rFonts w:ascii="Times New Roman" w:hAnsi="Times New Roman"/>
          <w:sz w:val="24"/>
          <w:szCs w:val="24"/>
        </w:rPr>
        <w:t>»</w:t>
      </w:r>
      <w:r w:rsidRPr="003F4542">
        <w:rPr>
          <w:rFonts w:ascii="Times New Roman" w:hAnsi="Times New Roman"/>
        </w:rPr>
        <w:t xml:space="preserve"> </w:t>
      </w:r>
      <w:r w:rsidRPr="003F4542">
        <w:rPr>
          <w:rFonts w:ascii="Times New Roman" w:hAnsi="Times New Roman"/>
          <w:sz w:val="24"/>
          <w:szCs w:val="24"/>
        </w:rPr>
        <w:t>(подготовлен Минэкономразвития России).</w:t>
      </w:r>
    </w:p>
    <w:p w:rsidR="00565994" w:rsidRDefault="00565994" w:rsidP="00565994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B70" w:rsidRPr="00565994" w:rsidRDefault="002D6BDE" w:rsidP="00565994">
      <w:pPr>
        <w:pStyle w:val="a4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Style w:val="a5"/>
          <w:i/>
          <w:sz w:val="24"/>
          <w:szCs w:val="24"/>
        </w:rPr>
      </w:pPr>
      <w:r w:rsidRPr="00565994">
        <w:rPr>
          <w:rStyle w:val="a5"/>
          <w:rFonts w:ascii="Times New Roman" w:hAnsi="Times New Roman"/>
          <w:i/>
          <w:sz w:val="24"/>
          <w:szCs w:val="24"/>
        </w:rPr>
        <w:t>Аппаратом Полномочного представителя  Президента Российской Федерации в Северо-Западном федеральном округе.</w:t>
      </w:r>
    </w:p>
    <w:p w:rsidR="002D6BDE" w:rsidRDefault="002D6BDE" w:rsidP="00565994">
      <w:pPr>
        <w:pStyle w:val="a4"/>
        <w:spacing w:after="0" w:line="240" w:lineRule="auto"/>
        <w:ind w:left="0" w:firstLine="709"/>
        <w:contextualSpacing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E57B70">
        <w:rPr>
          <w:rStyle w:val="a5"/>
          <w:rFonts w:ascii="Times New Roman" w:hAnsi="Times New Roman"/>
          <w:b w:val="0"/>
          <w:sz w:val="24"/>
          <w:szCs w:val="24"/>
        </w:rPr>
        <w:t xml:space="preserve">Советник директора Журавлев А.А.  входит в состав Комитета по обеспечению энергоэффективности объектов капитального строительства при Координационном совете по развитию строительной отрасли. </w:t>
      </w:r>
    </w:p>
    <w:p w:rsidR="00565994" w:rsidRPr="00E57B70" w:rsidRDefault="00565994" w:rsidP="00565994">
      <w:pPr>
        <w:pStyle w:val="a4"/>
        <w:spacing w:after="0" w:line="240" w:lineRule="auto"/>
        <w:ind w:left="0" w:firstLine="709"/>
        <w:contextualSpacing/>
        <w:jc w:val="both"/>
        <w:rPr>
          <w:rStyle w:val="a5"/>
          <w:b w:val="0"/>
          <w:sz w:val="24"/>
          <w:szCs w:val="24"/>
        </w:rPr>
      </w:pPr>
    </w:p>
    <w:p w:rsidR="00565994" w:rsidRDefault="002D6BDE" w:rsidP="00565994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a5"/>
          <w:rFonts w:ascii="Times New Roman" w:hAnsi="Times New Roman"/>
          <w:i/>
          <w:sz w:val="24"/>
          <w:szCs w:val="24"/>
        </w:rPr>
      </w:pPr>
      <w:r w:rsidRPr="00565994">
        <w:rPr>
          <w:rStyle w:val="a5"/>
          <w:rFonts w:ascii="Times New Roman" w:hAnsi="Times New Roman"/>
          <w:i/>
          <w:sz w:val="24"/>
          <w:szCs w:val="24"/>
        </w:rPr>
        <w:t xml:space="preserve">Санкт-Петербургской торгово-промышленной палатой. </w:t>
      </w:r>
    </w:p>
    <w:p w:rsidR="00565994" w:rsidRDefault="00565994" w:rsidP="00565994">
      <w:pPr>
        <w:spacing w:after="100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Партнерства В.Л.</w:t>
      </w:r>
      <w:r w:rsidRPr="00197D89">
        <w:rPr>
          <w:rFonts w:ascii="Times New Roman" w:hAnsi="Times New Roman"/>
          <w:sz w:val="24"/>
          <w:szCs w:val="24"/>
        </w:rPr>
        <w:t xml:space="preserve">Быков возглавляет </w:t>
      </w:r>
      <w:r w:rsidRPr="00197D89">
        <w:rPr>
          <w:rStyle w:val="a5"/>
          <w:rFonts w:ascii="Times New Roman" w:hAnsi="Times New Roman"/>
          <w:b w:val="0"/>
          <w:sz w:val="24"/>
          <w:szCs w:val="24"/>
        </w:rPr>
        <w:t>Комитет по предпринимательству в сфере строительства и рынку недвижимости Санкт-Петербургской торгово-промышленной палаты.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В 2014 году </w:t>
      </w:r>
      <w:r w:rsidR="00C81198">
        <w:rPr>
          <w:rStyle w:val="a5"/>
          <w:rFonts w:ascii="Times New Roman" w:hAnsi="Times New Roman"/>
          <w:b w:val="0"/>
          <w:sz w:val="24"/>
          <w:szCs w:val="24"/>
        </w:rPr>
        <w:t xml:space="preserve">Комитетом 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велась работа </w:t>
      </w:r>
      <w:proofErr w:type="gramStart"/>
      <w:r>
        <w:rPr>
          <w:rStyle w:val="a5"/>
          <w:rFonts w:ascii="Times New Roman" w:hAnsi="Times New Roman"/>
          <w:b w:val="0"/>
          <w:sz w:val="24"/>
          <w:szCs w:val="24"/>
        </w:rPr>
        <w:t>по</w:t>
      </w:r>
      <w:proofErr w:type="gramEnd"/>
      <w:r>
        <w:rPr>
          <w:rStyle w:val="a5"/>
          <w:rFonts w:ascii="Times New Roman" w:hAnsi="Times New Roman"/>
          <w:b w:val="0"/>
          <w:sz w:val="24"/>
          <w:szCs w:val="24"/>
        </w:rPr>
        <w:t>: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</w:t>
      </w:r>
      <w:r w:rsidRPr="00902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 по концептуальным основам и конкретным мероприятиям по развитию инвестирования, строительства, архитектуры, градостроительства, произ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водства строительных материалов;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 по совершенствованию действующей и формирующейся нормативной базы, определени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приоритетных проблем государственной политики в части, касающейся развития строительной отрасли, тре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бующих законодательного решения;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</w:t>
      </w:r>
      <w:r w:rsidRPr="00902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 с органами государственной власти по вопросам развития строительной отрасли, представлени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 Санкт-Петербургских организаций, отдавая приоритет членам Палаты, выявлени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основных проблем, разработк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проектов их нормативно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правовых решений;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 w:rsidRPr="00902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</w:t>
      </w:r>
      <w:r w:rsidR="00565994" w:rsidRPr="00902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оказывающи</w:t>
      </w:r>
      <w:r w:rsidR="00565994" w:rsidRPr="00902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влияние на развитие предпринимательства в сфере строительства, содейств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устранени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необоснованных ограничений и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бюрократических барьеров, содейств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реструктуризации и модернизации строитель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комплекса Санкт-Петербурга;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подразделениями аппарата Палаты, членами Палаты, комитетами Палаты в осуществлении общественной экспертизы проектов нормативно-правовы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актов в области строительства;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тбор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включени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конкретных проектов, направленных на реализацию целей деятел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ьности Комитета, в планы работы;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пользовани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информационными банками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 по строительной тематике;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Санкт-Петербургской торгово-промышленной палат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организациям и предпринимателям в ознакомлении, использовании и распространении зар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убежного и отечественного опыта;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подготовке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организации и участию в работе конференций, семинаров, симпозиумов по проблемам 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отрасли в России и за рубежом;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чению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отечественны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научны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деловы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круг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работе международных и зарубежных национальных ассамблей, конференций, симпози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 по проблемам строительства;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конференций, семинаров, симпозиумов, выраб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отке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консолидированны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позици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деловых кругов по актуальным проблемам развития строительства, 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подготовке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рекомендаци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руководящих органов Палаты;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одействи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организации обучения работников и специалистов организаций различных форм собственности и предпринимателей в 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ссийской Федерации и за рубежом;</w:t>
      </w:r>
    </w:p>
    <w:p w:rsidR="00565994" w:rsidRPr="00514C5C" w:rsidRDefault="00C81198" w:rsidP="00C81198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организ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ации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сотрудничеств</w:t>
      </w:r>
      <w:r w:rsidR="00565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565994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союзами, ассоциациями, объединениями предпринимателей.</w:t>
      </w:r>
    </w:p>
    <w:p w:rsidR="00565994" w:rsidRPr="00565994" w:rsidRDefault="00565994" w:rsidP="00565994">
      <w:pPr>
        <w:pStyle w:val="a4"/>
        <w:spacing w:after="0" w:line="240" w:lineRule="auto"/>
        <w:ind w:left="426"/>
        <w:jc w:val="both"/>
        <w:rPr>
          <w:rStyle w:val="a5"/>
          <w:rFonts w:ascii="Times New Roman" w:hAnsi="Times New Roman"/>
          <w:i/>
          <w:sz w:val="24"/>
          <w:szCs w:val="24"/>
        </w:rPr>
      </w:pPr>
    </w:p>
    <w:p w:rsidR="00565994" w:rsidRPr="00565994" w:rsidRDefault="002D6BDE" w:rsidP="00565994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65994">
        <w:rPr>
          <w:rFonts w:ascii="Times New Roman" w:hAnsi="Times New Roman"/>
          <w:b/>
          <w:i/>
          <w:sz w:val="24"/>
          <w:szCs w:val="24"/>
        </w:rPr>
        <w:t>Союзом энергетиков Северо-Запада.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994" w:rsidRPr="00565994" w:rsidRDefault="00565994" w:rsidP="00565994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565994" w:rsidRDefault="00565994" w:rsidP="005659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Партнерства активно принимают участие в мероприятиях, проводимых при поддержке Президента Союза энергетиков Северо-Запада член-корреспондента Российской академии архитектуры и строительных наук, доктора технических наук, профессора Аверьянова В.К. </w:t>
      </w:r>
    </w:p>
    <w:p w:rsidR="00565994" w:rsidRPr="0053405D" w:rsidRDefault="00565994" w:rsidP="005659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46519" w:rsidRPr="003A29C6" w:rsidRDefault="00846519" w:rsidP="009908FD">
      <w:pPr>
        <w:pStyle w:val="a4"/>
        <w:numPr>
          <w:ilvl w:val="0"/>
          <w:numId w:val="7"/>
        </w:numPr>
        <w:spacing w:after="100" w:line="240" w:lineRule="auto"/>
        <w:ind w:left="426"/>
        <w:jc w:val="both"/>
        <w:rPr>
          <w:rStyle w:val="a5"/>
          <w:rFonts w:ascii="Times New Roman" w:eastAsia="Times New Roman" w:hAnsi="Times New Roman"/>
          <w:b w:val="0"/>
          <w:bCs w:val="0"/>
          <w:i/>
          <w:sz w:val="24"/>
          <w:szCs w:val="24"/>
          <w:lang w:eastAsia="ru-RU"/>
        </w:rPr>
      </w:pPr>
      <w:r w:rsidRPr="000C7482">
        <w:rPr>
          <w:rStyle w:val="a5"/>
          <w:rFonts w:ascii="Times New Roman" w:hAnsi="Times New Roman"/>
          <w:i/>
          <w:sz w:val="24"/>
          <w:szCs w:val="24"/>
        </w:rPr>
        <w:t>Северо-Западным региональным центром АВОК</w:t>
      </w:r>
      <w:r>
        <w:rPr>
          <w:rStyle w:val="a5"/>
          <w:rFonts w:ascii="Times New Roman" w:hAnsi="Times New Roman"/>
          <w:i/>
          <w:sz w:val="24"/>
          <w:szCs w:val="24"/>
        </w:rPr>
        <w:t>.</w:t>
      </w:r>
    </w:p>
    <w:p w:rsidR="00565994" w:rsidRDefault="00565994" w:rsidP="00565994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BDE" w:rsidRPr="0053405D" w:rsidRDefault="002F79CB" w:rsidP="005659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Совместная деятельность наших Партнерств заключается в рассмотрении новых нормативно-методических документов, проведении конференций, в участии в работе НОЭ, НОП и их Комитетов. </w:t>
      </w:r>
      <w:r w:rsidR="002D6BD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НП «АВОК СЕВЕРО-ЗАПАД» оценивает эффективность опытного образца индивидуально</w:t>
      </w:r>
      <w:r w:rsidR="00E57B70">
        <w:rPr>
          <w:rFonts w:ascii="Times New Roman" w:eastAsia="Times New Roman" w:hAnsi="Times New Roman"/>
          <w:sz w:val="24"/>
          <w:szCs w:val="24"/>
          <w:lang w:eastAsia="ru-RU"/>
        </w:rPr>
        <w:t>й системы приточно-вытяжной вентиляции</w:t>
      </w:r>
      <w:r w:rsidR="002D6BDE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рекуперацией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тепловой энергии</w:t>
      </w:r>
      <w:r w:rsidR="00E57B70">
        <w:rPr>
          <w:rFonts w:ascii="Times New Roman" w:eastAsia="Times New Roman" w:hAnsi="Times New Roman"/>
          <w:sz w:val="24"/>
          <w:szCs w:val="24"/>
          <w:lang w:eastAsia="ru-RU"/>
        </w:rPr>
        <w:t xml:space="preserve">. Данная система </w:t>
      </w:r>
      <w:r w:rsidR="002D6BDE">
        <w:rPr>
          <w:rFonts w:ascii="Times New Roman" w:eastAsia="Times New Roman" w:hAnsi="Times New Roman"/>
          <w:sz w:val="24"/>
          <w:szCs w:val="24"/>
          <w:lang w:eastAsia="ru-RU"/>
        </w:rPr>
        <w:t>представлен</w:t>
      </w:r>
      <w:r w:rsidR="00E57B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D6BDE">
        <w:rPr>
          <w:rFonts w:ascii="Times New Roman" w:eastAsia="Times New Roman" w:hAnsi="Times New Roman"/>
          <w:sz w:val="24"/>
          <w:szCs w:val="24"/>
          <w:lang w:eastAsia="ru-RU"/>
        </w:rPr>
        <w:t xml:space="preserve"> НП «БалтЭнергоЭффект», НП «БОП» и НП «БСК». Применение подобных устройств позволит значительно снизить потери тепловой энергии на вентиляци</w:t>
      </w:r>
      <w:r w:rsidR="00E57B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D6B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одновременном обеспечении комфортных условий проживания.</w:t>
      </w:r>
    </w:p>
    <w:p w:rsidR="002D6BDE" w:rsidRDefault="002D6BDE" w:rsidP="002D6BDE">
      <w:pPr>
        <w:spacing w:after="0" w:line="240" w:lineRule="auto"/>
        <w:ind w:left="72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2D6BDE" w:rsidRPr="009908FD" w:rsidRDefault="002D6BDE" w:rsidP="002D6BDE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9908FD">
        <w:rPr>
          <w:rStyle w:val="a5"/>
          <w:rFonts w:ascii="Times New Roman" w:hAnsi="Times New Roman"/>
          <w:b w:val="0"/>
          <w:sz w:val="24"/>
          <w:szCs w:val="24"/>
        </w:rPr>
        <w:t>Проводится активная работа по нормативно-методическим документам в профильных Комитетах НОЭ, НОСТРОЙ, НОП, РСС.</w:t>
      </w:r>
    </w:p>
    <w:p w:rsidR="00CD1364" w:rsidRPr="009908FD" w:rsidRDefault="00CD1364" w:rsidP="00CD1364">
      <w:pPr>
        <w:tabs>
          <w:tab w:val="left" w:pos="1276"/>
        </w:tabs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9908FD">
        <w:rPr>
          <w:rStyle w:val="a5"/>
          <w:rFonts w:ascii="Times New Roman" w:hAnsi="Times New Roman"/>
          <w:b w:val="0"/>
          <w:sz w:val="24"/>
          <w:szCs w:val="24"/>
        </w:rPr>
        <w:t xml:space="preserve">          В 2014 году на заседании </w:t>
      </w:r>
      <w:r w:rsidRPr="009908FD">
        <w:rPr>
          <w:rFonts w:ascii="Times New Roman" w:hAnsi="Times New Roman"/>
          <w:bCs/>
          <w:sz w:val="24"/>
          <w:szCs w:val="24"/>
        </w:rPr>
        <w:t>Комитета нормативно-технической документации для объектов промышленного и гражданского назначения НОП</w:t>
      </w:r>
      <w:r w:rsidRPr="009908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08FD">
        <w:rPr>
          <w:rStyle w:val="a5"/>
          <w:rFonts w:ascii="Times New Roman" w:hAnsi="Times New Roman"/>
          <w:b w:val="0"/>
          <w:sz w:val="24"/>
          <w:szCs w:val="24"/>
        </w:rPr>
        <w:t>были рассмотрены  следующие документы:</w:t>
      </w:r>
    </w:p>
    <w:p w:rsidR="00CD1364" w:rsidRDefault="00CD1364" w:rsidP="00B56981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1364">
        <w:rPr>
          <w:rStyle w:val="a5"/>
          <w:rFonts w:ascii="Times New Roman" w:hAnsi="Times New Roman"/>
          <w:color w:val="auto"/>
          <w:sz w:val="24"/>
          <w:szCs w:val="24"/>
        </w:rPr>
        <w:lastRenderedPageBreak/>
        <w:t xml:space="preserve">- </w:t>
      </w:r>
      <w:r w:rsidRPr="00B5698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проект распоряжения Правительства Российской Федерации «О внесении изменений в распоряжение Правительства Российской Федерации от 21.06.2010 №1047-р», полученный от Минэкономразвития России (указанное распоряжение касается </w:t>
      </w:r>
      <w:r w:rsidRPr="00B56981">
        <w:rPr>
          <w:rFonts w:ascii="Times New Roman" w:hAnsi="Times New Roman" w:cs="Times New Roman"/>
          <w:color w:val="auto"/>
        </w:rPr>
        <w:t xml:space="preserve"> </w:t>
      </w:r>
      <w:r w:rsidRPr="00B56981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утверждения перечня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 w:rsidR="00B56981" w:rsidRPr="00B56981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B56981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B56981" w:rsidRDefault="00B56981" w:rsidP="00B56981">
      <w:pPr>
        <w:spacing w:line="240" w:lineRule="auto"/>
        <w:contextualSpacing/>
      </w:pPr>
    </w:p>
    <w:p w:rsidR="00B56981" w:rsidRDefault="00B56981" w:rsidP="00B569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981">
        <w:rPr>
          <w:rFonts w:ascii="Times New Roman" w:hAnsi="Times New Roman"/>
          <w:sz w:val="24"/>
          <w:szCs w:val="24"/>
        </w:rPr>
        <w:t>- стандарт НОП и НОСТРОЙ «Инженерные сети зданий и сооружений внутренние. Системы кондиционирования с переменным расходом хладагента. Правила проектирования и монтажа,  контроль выполнения, требования к результатам работ»</w:t>
      </w:r>
      <w:r>
        <w:rPr>
          <w:rFonts w:ascii="Times New Roman" w:hAnsi="Times New Roman"/>
          <w:sz w:val="24"/>
          <w:szCs w:val="24"/>
        </w:rPr>
        <w:t>;</w:t>
      </w:r>
    </w:p>
    <w:p w:rsidR="00B56981" w:rsidRDefault="00B56981" w:rsidP="00B569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56981" w:rsidRDefault="00B56981" w:rsidP="00B569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981">
        <w:rPr>
          <w:rFonts w:ascii="Times New Roman" w:hAnsi="Times New Roman"/>
          <w:sz w:val="24"/>
          <w:szCs w:val="24"/>
        </w:rPr>
        <w:t>- стандарт НОП и НОСТРОЙ «Инженерные сети наружные. Автономные системы водоотведения с септиками и подземной фильтрацией сточных вод. Правила проектирования и монтажа, контроль выполнения и требования к результатам работ»</w:t>
      </w:r>
      <w:r>
        <w:rPr>
          <w:rFonts w:ascii="Times New Roman" w:hAnsi="Times New Roman"/>
          <w:sz w:val="24"/>
          <w:szCs w:val="24"/>
        </w:rPr>
        <w:t>;</w:t>
      </w:r>
    </w:p>
    <w:p w:rsidR="00B56981" w:rsidRDefault="00B56981" w:rsidP="00B569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981" w:rsidRDefault="00B56981" w:rsidP="00B569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981">
        <w:rPr>
          <w:rFonts w:ascii="Times New Roman" w:hAnsi="Times New Roman"/>
          <w:sz w:val="24"/>
          <w:szCs w:val="24"/>
        </w:rPr>
        <w:t>- рекомендации НОП и НОСТРОЙ «Инженерные сети зданий и сооружений внутренние. Рекомендации по устройству поквартирных систем отопления»</w:t>
      </w:r>
      <w:r>
        <w:rPr>
          <w:rFonts w:ascii="Times New Roman" w:hAnsi="Times New Roman"/>
          <w:sz w:val="24"/>
          <w:szCs w:val="24"/>
        </w:rPr>
        <w:t>;</w:t>
      </w:r>
    </w:p>
    <w:p w:rsidR="00B56981" w:rsidRDefault="00B56981" w:rsidP="00B569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6981" w:rsidRPr="00B56981" w:rsidRDefault="00B56981" w:rsidP="00B569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0C71">
        <w:rPr>
          <w:rFonts w:ascii="Times New Roman" w:hAnsi="Times New Roman"/>
          <w:sz w:val="24"/>
          <w:szCs w:val="24"/>
        </w:rPr>
        <w:t xml:space="preserve">- стандарт </w:t>
      </w:r>
      <w:r w:rsidR="007D0A8F" w:rsidRPr="00B56981">
        <w:rPr>
          <w:rFonts w:ascii="Times New Roman" w:hAnsi="Times New Roman"/>
          <w:sz w:val="24"/>
          <w:szCs w:val="24"/>
        </w:rPr>
        <w:t xml:space="preserve">НОП и НОСТРОЙ </w:t>
      </w:r>
      <w:r w:rsidRPr="00D90C71">
        <w:rPr>
          <w:rFonts w:ascii="Times New Roman" w:hAnsi="Times New Roman"/>
          <w:sz w:val="24"/>
          <w:szCs w:val="24"/>
        </w:rPr>
        <w:t>«Автоматизированные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работ»;</w:t>
      </w:r>
    </w:p>
    <w:p w:rsidR="00CD1364" w:rsidRDefault="00CD1364" w:rsidP="00CD136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56981">
        <w:rPr>
          <w:rFonts w:ascii="Times New Roman" w:hAnsi="Times New Roman"/>
          <w:sz w:val="24"/>
          <w:szCs w:val="24"/>
        </w:rPr>
        <w:br/>
      </w:r>
      <w:r w:rsidR="007D0A8F">
        <w:t xml:space="preserve">- </w:t>
      </w:r>
      <w:r w:rsidR="007D0A8F" w:rsidRPr="007D0A8F">
        <w:rPr>
          <w:rFonts w:ascii="Times New Roman" w:hAnsi="Times New Roman"/>
          <w:sz w:val="24"/>
          <w:szCs w:val="24"/>
        </w:rPr>
        <w:t xml:space="preserve">стандарт </w:t>
      </w:r>
      <w:r w:rsidR="007D0A8F" w:rsidRPr="00B56981">
        <w:rPr>
          <w:rFonts w:ascii="Times New Roman" w:hAnsi="Times New Roman"/>
          <w:sz w:val="24"/>
          <w:szCs w:val="24"/>
        </w:rPr>
        <w:t xml:space="preserve">НОП и НОСТРОЙ </w:t>
      </w:r>
      <w:r w:rsidR="007D0A8F" w:rsidRPr="007D0A8F">
        <w:rPr>
          <w:rFonts w:ascii="Times New Roman" w:hAnsi="Times New Roman"/>
          <w:sz w:val="24"/>
          <w:szCs w:val="24"/>
        </w:rPr>
        <w:t>«Автоматизированные индивидуальные тепловые пункты. Правила проектирования и монтажа, контроль выполнения, требования к результатам работ»</w:t>
      </w:r>
      <w:r w:rsidR="007D0A8F">
        <w:rPr>
          <w:rFonts w:ascii="Times New Roman" w:hAnsi="Times New Roman"/>
          <w:sz w:val="24"/>
          <w:szCs w:val="24"/>
        </w:rPr>
        <w:t>;</w:t>
      </w:r>
    </w:p>
    <w:p w:rsidR="007D0A8F" w:rsidRDefault="007D0A8F" w:rsidP="007D0A8F">
      <w:pPr>
        <w:tabs>
          <w:tab w:val="left" w:pos="127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0A8F">
        <w:rPr>
          <w:rFonts w:ascii="Times New Roman" w:hAnsi="Times New Roman"/>
          <w:sz w:val="24"/>
          <w:szCs w:val="24"/>
        </w:rPr>
        <w:t xml:space="preserve">стандарт </w:t>
      </w:r>
      <w:r w:rsidRPr="00B56981">
        <w:rPr>
          <w:rFonts w:ascii="Times New Roman" w:hAnsi="Times New Roman"/>
          <w:sz w:val="24"/>
          <w:szCs w:val="24"/>
        </w:rPr>
        <w:t xml:space="preserve">НОП и НОСТРОЙ </w:t>
      </w:r>
      <w:r w:rsidRPr="007D0A8F">
        <w:rPr>
          <w:rFonts w:ascii="Times New Roman" w:hAnsi="Times New Roman"/>
          <w:sz w:val="24"/>
          <w:szCs w:val="24"/>
        </w:rPr>
        <w:t>«Автоматизированные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работ»</w:t>
      </w:r>
      <w:r>
        <w:rPr>
          <w:rFonts w:ascii="Times New Roman" w:hAnsi="Times New Roman"/>
          <w:sz w:val="24"/>
          <w:szCs w:val="24"/>
        </w:rPr>
        <w:t>;</w:t>
      </w:r>
    </w:p>
    <w:p w:rsidR="007D0A8F" w:rsidRPr="007D0A8F" w:rsidRDefault="007D0A8F" w:rsidP="007D0A8F">
      <w:pPr>
        <w:tabs>
          <w:tab w:val="left" w:pos="1276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="00D90C71" w:rsidRPr="007D0A8F">
        <w:rPr>
          <w:rFonts w:ascii="Times New Roman" w:hAnsi="Times New Roman"/>
          <w:sz w:val="24"/>
          <w:szCs w:val="24"/>
        </w:rPr>
        <w:t xml:space="preserve">каталог </w:t>
      </w:r>
      <w:r w:rsidRPr="007D0A8F">
        <w:rPr>
          <w:rFonts w:ascii="Times New Roman" w:hAnsi="Times New Roman"/>
          <w:sz w:val="24"/>
          <w:szCs w:val="24"/>
        </w:rPr>
        <w:t>технических решений и практических рекомендаций по энергосбережению и повышению энергетической эффективности зданий и сооружений</w:t>
      </w:r>
      <w:r>
        <w:rPr>
          <w:rFonts w:ascii="Times New Roman" w:hAnsi="Times New Roman"/>
          <w:sz w:val="24"/>
          <w:szCs w:val="24"/>
        </w:rPr>
        <w:t>.</w:t>
      </w:r>
    </w:p>
    <w:p w:rsidR="007D0A8F" w:rsidRPr="007D0A8F" w:rsidRDefault="007D0A8F" w:rsidP="007D0A8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другие. Всего рассматривалось 16 нормативно-методических документов.</w:t>
      </w:r>
    </w:p>
    <w:p w:rsidR="00CD1364" w:rsidRPr="00CD1364" w:rsidRDefault="00CD1364" w:rsidP="00CD1364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D90C71" w:rsidRDefault="00D90C71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деятельность Партнерства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84651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информационной политики в 201</w:t>
      </w:r>
      <w:r w:rsidR="007D0A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оказывалась информационная поддержка и продвижение Партнерства и его членов с помощью Интернет-ресурса партнерства </w:t>
      </w:r>
      <w:proofErr w:type="spellStart"/>
      <w:r>
        <w:rPr>
          <w:rFonts w:ascii="Times New Roman" w:hAnsi="Times New Roman"/>
          <w:sz w:val="24"/>
          <w:szCs w:val="24"/>
        </w:rPr>
        <w:t>www.srobaltenergo.ru</w:t>
      </w:r>
      <w:proofErr w:type="spellEnd"/>
      <w:r>
        <w:rPr>
          <w:rFonts w:ascii="Times New Roman" w:hAnsi="Times New Roman"/>
          <w:sz w:val="24"/>
          <w:szCs w:val="24"/>
        </w:rPr>
        <w:t>, освещение их деятельности в средствах массовой информации, организация участия в профильных мероприятиях.</w:t>
      </w:r>
    </w:p>
    <w:p w:rsidR="00F03045" w:rsidRDefault="00F03045" w:rsidP="002D6B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045" w:rsidRDefault="007D0A8F" w:rsidP="00F03045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33C57">
        <w:rPr>
          <w:rFonts w:ascii="Times New Roman" w:hAnsi="Times New Roman"/>
          <w:sz w:val="24"/>
          <w:szCs w:val="24"/>
        </w:rPr>
        <w:t xml:space="preserve"> рамках Международной специализированной выставк</w:t>
      </w:r>
      <w:r>
        <w:rPr>
          <w:rFonts w:ascii="Times New Roman" w:hAnsi="Times New Roman"/>
          <w:sz w:val="24"/>
          <w:szCs w:val="24"/>
        </w:rPr>
        <w:t>и</w:t>
      </w:r>
      <w:r w:rsidRPr="00433C57">
        <w:rPr>
          <w:rFonts w:ascii="Times New Roman" w:hAnsi="Times New Roman"/>
          <w:sz w:val="24"/>
          <w:szCs w:val="24"/>
        </w:rPr>
        <w:t xml:space="preserve"> «Энергетика и электротехника-201</w:t>
      </w:r>
      <w:r>
        <w:rPr>
          <w:rFonts w:ascii="Times New Roman" w:hAnsi="Times New Roman"/>
          <w:sz w:val="24"/>
          <w:szCs w:val="24"/>
        </w:rPr>
        <w:t>4</w:t>
      </w:r>
      <w:r w:rsidRPr="00433C57">
        <w:rPr>
          <w:rFonts w:ascii="Times New Roman" w:hAnsi="Times New Roman"/>
          <w:sz w:val="24"/>
          <w:szCs w:val="24"/>
        </w:rPr>
        <w:t>» (17.0</w:t>
      </w:r>
      <w:r>
        <w:rPr>
          <w:rFonts w:ascii="Times New Roman" w:hAnsi="Times New Roman"/>
          <w:sz w:val="24"/>
          <w:szCs w:val="24"/>
        </w:rPr>
        <w:t>6</w:t>
      </w:r>
      <w:r w:rsidR="00F03045">
        <w:rPr>
          <w:rFonts w:ascii="Times New Roman" w:hAnsi="Times New Roman"/>
          <w:sz w:val="24"/>
          <w:szCs w:val="24"/>
        </w:rPr>
        <w:t xml:space="preserve">.2014 </w:t>
      </w:r>
      <w:r w:rsidRPr="00433C57">
        <w:rPr>
          <w:rFonts w:ascii="Times New Roman" w:hAnsi="Times New Roman"/>
          <w:sz w:val="24"/>
          <w:szCs w:val="24"/>
        </w:rPr>
        <w:t>– 20.0</w:t>
      </w:r>
      <w:r>
        <w:rPr>
          <w:rFonts w:ascii="Times New Roman" w:hAnsi="Times New Roman"/>
          <w:sz w:val="24"/>
          <w:szCs w:val="24"/>
        </w:rPr>
        <w:t>6</w:t>
      </w:r>
      <w:r w:rsidRPr="00433C5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433C57">
        <w:rPr>
          <w:rFonts w:ascii="Times New Roman" w:hAnsi="Times New Roman"/>
          <w:sz w:val="24"/>
          <w:szCs w:val="24"/>
        </w:rPr>
        <w:t xml:space="preserve">) </w:t>
      </w:r>
      <w:r w:rsidR="00846519">
        <w:rPr>
          <w:rFonts w:ascii="Times New Roman" w:hAnsi="Times New Roman"/>
          <w:sz w:val="24"/>
          <w:szCs w:val="24"/>
        </w:rPr>
        <w:t xml:space="preserve">прошедшей </w:t>
      </w:r>
      <w:r w:rsidR="002D6BDE" w:rsidRPr="00433C57">
        <w:rPr>
          <w:rFonts w:ascii="Times New Roman" w:hAnsi="Times New Roman"/>
          <w:sz w:val="24"/>
          <w:szCs w:val="24"/>
        </w:rPr>
        <w:t>в Санкт-Петербурге</w:t>
      </w:r>
      <w:r w:rsidR="00846519">
        <w:rPr>
          <w:rFonts w:ascii="Times New Roman" w:hAnsi="Times New Roman"/>
          <w:sz w:val="24"/>
          <w:szCs w:val="24"/>
        </w:rPr>
        <w:t>,</w:t>
      </w:r>
      <w:r w:rsidR="002D6BDE" w:rsidRPr="00433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установка децентрализованной приточно-вытяжной вентиляции с рекуперацией тепловой энергии, получила диплом «За лучшую энергосберегающую разработку»</w:t>
      </w:r>
      <w:r w:rsidR="00F03045">
        <w:rPr>
          <w:rFonts w:ascii="Times New Roman" w:hAnsi="Times New Roman"/>
          <w:sz w:val="24"/>
          <w:szCs w:val="24"/>
        </w:rPr>
        <w:t xml:space="preserve">, которая была усовершенствована </w:t>
      </w:r>
      <w:r>
        <w:rPr>
          <w:rFonts w:ascii="Times New Roman" w:hAnsi="Times New Roman"/>
          <w:sz w:val="24"/>
          <w:szCs w:val="24"/>
        </w:rPr>
        <w:t xml:space="preserve">совместно с ТУ НП «БСК»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Казань.</w:t>
      </w:r>
    </w:p>
    <w:p w:rsidR="009908FD" w:rsidRPr="00F03045" w:rsidRDefault="009908FD" w:rsidP="009908FD">
      <w:pPr>
        <w:spacing w:line="24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21-22 мая 2014 года состоялся специализированный  </w:t>
      </w:r>
      <w:r w:rsidRPr="00D90C71">
        <w:rPr>
          <w:rFonts w:ascii="Times New Roman" w:hAnsi="Times New Roman"/>
          <w:sz w:val="24"/>
          <w:szCs w:val="24"/>
        </w:rPr>
        <w:t>VII</w:t>
      </w:r>
      <w:r w:rsidRPr="00F57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форум «ПТА. Интеллектуальное здание. Санкт-Петербург – 2014», на котором был представлен доклад </w:t>
      </w:r>
      <w:r w:rsidRPr="00F03045">
        <w:rPr>
          <w:rFonts w:ascii="Times New Roman" w:hAnsi="Times New Roman"/>
          <w:sz w:val="24"/>
          <w:szCs w:val="24"/>
        </w:rPr>
        <w:lastRenderedPageBreak/>
        <w:t>«</w:t>
      </w:r>
      <w:r w:rsidRPr="00D90C71">
        <w:rPr>
          <w:rFonts w:ascii="Times New Roman" w:hAnsi="Times New Roman"/>
          <w:sz w:val="24"/>
          <w:szCs w:val="24"/>
        </w:rPr>
        <w:t>Новые энергоэффективные технологии в сфере рекуперации» с демонстрацией высокоэффективной индивидуальной системы приточно-вытяжной вентиляции с рекуперацией тепловой энергии, что вызвало большой интерес участников форума;</w:t>
      </w:r>
    </w:p>
    <w:p w:rsidR="00F03045" w:rsidRDefault="00F03045" w:rsidP="00F03045">
      <w:pPr>
        <w:spacing w:after="0" w:line="24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27-29 </w:t>
      </w:r>
      <w:r w:rsidR="002D6BDE" w:rsidRPr="0051496D">
        <w:rPr>
          <w:rFonts w:ascii="Times New Roman" w:hAnsi="Times New Roman"/>
          <w:sz w:val="24"/>
          <w:szCs w:val="24"/>
        </w:rPr>
        <w:t>мая 201</w:t>
      </w:r>
      <w:r>
        <w:rPr>
          <w:rFonts w:ascii="Times New Roman" w:hAnsi="Times New Roman"/>
          <w:sz w:val="24"/>
          <w:szCs w:val="24"/>
        </w:rPr>
        <w:t>4</w:t>
      </w:r>
      <w:r w:rsidR="002D6BDE" w:rsidRPr="0051496D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6D">
        <w:rPr>
          <w:rFonts w:ascii="Times New Roman" w:hAnsi="Times New Roman"/>
          <w:sz w:val="24"/>
          <w:szCs w:val="24"/>
        </w:rPr>
        <w:t xml:space="preserve">в  Санкт-Петербурге прошла </w:t>
      </w:r>
      <w:r w:rsidRPr="00E145C0">
        <w:rPr>
          <w:rFonts w:ascii="Times New Roman" w:hAnsi="Times New Roman"/>
          <w:sz w:val="24"/>
          <w:szCs w:val="24"/>
          <w:lang w:val="en-US"/>
        </w:rPr>
        <w:t>V</w:t>
      </w:r>
      <w:r w:rsidRPr="00E145C0">
        <w:rPr>
          <w:rFonts w:ascii="Times New Roman" w:hAnsi="Times New Roman"/>
          <w:sz w:val="24"/>
          <w:szCs w:val="24"/>
        </w:rPr>
        <w:t xml:space="preserve"> Международн</w:t>
      </w:r>
      <w:r>
        <w:rPr>
          <w:rFonts w:ascii="Times New Roman" w:hAnsi="Times New Roman"/>
          <w:sz w:val="24"/>
          <w:szCs w:val="24"/>
        </w:rPr>
        <w:t>ая</w:t>
      </w:r>
      <w:r w:rsidRPr="00E145C0">
        <w:rPr>
          <w:rFonts w:ascii="Times New Roman" w:hAnsi="Times New Roman"/>
          <w:sz w:val="24"/>
          <w:szCs w:val="24"/>
        </w:rPr>
        <w:t xml:space="preserve"> научно-практичес</w:t>
      </w:r>
      <w:r>
        <w:rPr>
          <w:rFonts w:ascii="Times New Roman" w:hAnsi="Times New Roman"/>
          <w:sz w:val="24"/>
          <w:szCs w:val="24"/>
        </w:rPr>
        <w:t>кая</w:t>
      </w:r>
      <w:r w:rsidRPr="00E145C0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я «Энергосбережение в системах тепло- и газоснабжения. Повышение энергетической эффективности»</w:t>
      </w:r>
      <w:r w:rsidRPr="0051496D">
        <w:rPr>
          <w:rFonts w:ascii="Times New Roman" w:hAnsi="Times New Roman"/>
          <w:sz w:val="24"/>
          <w:szCs w:val="24"/>
        </w:rPr>
        <w:t>, на которой с докладом «</w:t>
      </w:r>
      <w:r w:rsidRPr="00F03045">
        <w:rPr>
          <w:rFonts w:ascii="Times New Roman" w:hAnsi="Times New Roman"/>
          <w:sz w:val="24"/>
          <w:szCs w:val="24"/>
        </w:rPr>
        <w:t>Проблемные вопросы расчета и</w:t>
      </w:r>
      <w:r>
        <w:rPr>
          <w:rFonts w:ascii="Times New Roman" w:hAnsi="Times New Roman"/>
          <w:sz w:val="24"/>
          <w:szCs w:val="24"/>
        </w:rPr>
        <w:t xml:space="preserve"> пр</w:t>
      </w:r>
      <w:r w:rsidRPr="00F03045">
        <w:rPr>
          <w:rFonts w:ascii="Times New Roman" w:hAnsi="Times New Roman"/>
          <w:sz w:val="24"/>
          <w:szCs w:val="24"/>
        </w:rPr>
        <w:t>оектирования   теплозащиты ограждающих конструкций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045">
        <w:rPr>
          <w:rFonts w:ascii="Times New Roman" w:hAnsi="Times New Roman"/>
          <w:sz w:val="24"/>
          <w:szCs w:val="24"/>
        </w:rPr>
        <w:t>и учета тепловой энергии  в многоквартирных домах</w:t>
      </w:r>
      <w:r w:rsidRPr="0051496D">
        <w:rPr>
          <w:rFonts w:ascii="Times New Roman" w:hAnsi="Times New Roman"/>
          <w:sz w:val="24"/>
          <w:szCs w:val="24"/>
        </w:rPr>
        <w:t>» выступил советник директора НП «БалтЭнергоЭффект» А.А. Журавлев.</w:t>
      </w:r>
    </w:p>
    <w:p w:rsidR="009908FD" w:rsidRDefault="009908FD" w:rsidP="003A4B5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4B52" w:rsidRDefault="002D6BDE" w:rsidP="003A4B5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16B9A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="00F03045">
        <w:rPr>
          <w:rFonts w:ascii="Times New Roman" w:eastAsia="Times New Roman" w:hAnsi="Times New Roman"/>
          <w:iCs/>
          <w:sz w:val="24"/>
          <w:szCs w:val="24"/>
          <w:lang w:eastAsia="ru-RU"/>
        </w:rPr>
        <w:t>7</w:t>
      </w:r>
      <w:r w:rsidRPr="00116B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сентября 201</w:t>
      </w:r>
      <w:r w:rsidR="003A4B52"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Pr="00116B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года в Санкт-Петербурге прошла  V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16B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Всероссийская научно-практическая конференция «Саморегулирование в строительном комплексе: повседневная практика и законодательство».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Совместно с НП «АЛЬЯНС СТРОИТЕЛЕЙ» </w:t>
      </w:r>
      <w:r w:rsidR="003A4B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НП «АВОК Северо-Запад»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НП «БалтЭнергоЭффект» организовал и успешно провел секцию «Энергоресурсосбережение в строительстве».</w:t>
      </w:r>
    </w:p>
    <w:p w:rsidR="003A4B52" w:rsidRDefault="003A4B52" w:rsidP="003A4B5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D6BDE" w:rsidRDefault="003A4B52" w:rsidP="00D90C71">
      <w:pPr>
        <w:spacing w:after="0" w:line="24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12-13 ноября 2014 г</w:t>
      </w:r>
      <w:r w:rsidR="00D90C71">
        <w:rPr>
          <w:rFonts w:ascii="Times New Roman" w:eastAsia="Times New Roman" w:hAnsi="Times New Roman"/>
          <w:iCs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</w:t>
      </w:r>
      <w:r w:rsidR="002D6BDE" w:rsidRPr="003A4B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 </w:t>
      </w:r>
      <w:r w:rsidR="002D6BDE" w:rsidRPr="003A4B52">
        <w:rPr>
          <w:rFonts w:ascii="Times New Roman" w:hAnsi="Times New Roman"/>
          <w:sz w:val="24"/>
          <w:szCs w:val="24"/>
          <w:lang w:val="en-US"/>
        </w:rPr>
        <w:t>V</w:t>
      </w:r>
      <w:r w:rsidRPr="003A4B52">
        <w:rPr>
          <w:rFonts w:ascii="Times New Roman" w:hAnsi="Times New Roman"/>
          <w:sz w:val="24"/>
          <w:szCs w:val="24"/>
          <w:lang w:val="en-US"/>
        </w:rPr>
        <w:t>I</w:t>
      </w:r>
      <w:r w:rsidR="002D6BDE" w:rsidRPr="003A4B52">
        <w:rPr>
          <w:rFonts w:ascii="Times New Roman" w:hAnsi="Times New Roman"/>
          <w:sz w:val="24"/>
          <w:szCs w:val="24"/>
        </w:rPr>
        <w:t xml:space="preserve"> Международном Конгрессе «Энергоэффективность. </w:t>
      </w:r>
      <w:r w:rsidR="002D6BDE" w:rsidRPr="003A4B52">
        <w:rPr>
          <w:rFonts w:ascii="Times New Roman" w:hAnsi="Times New Roman"/>
          <w:sz w:val="24"/>
          <w:szCs w:val="24"/>
          <w:lang w:val="en-US"/>
        </w:rPr>
        <w:t>XXI</w:t>
      </w:r>
      <w:r w:rsidR="002D6BDE" w:rsidRPr="003A4B52">
        <w:rPr>
          <w:rFonts w:ascii="Times New Roman" w:hAnsi="Times New Roman"/>
          <w:sz w:val="24"/>
          <w:szCs w:val="24"/>
        </w:rPr>
        <w:t xml:space="preserve"> век» представители Партнерства приняли участие </w:t>
      </w:r>
      <w:r w:rsidR="002D6BDE" w:rsidRPr="003A4B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выступили с докладом на </w:t>
      </w:r>
      <w:r w:rsidR="002D6BDE" w:rsidRPr="003A4B52">
        <w:rPr>
          <w:rFonts w:ascii="Times New Roman" w:hAnsi="Times New Roman"/>
          <w:sz w:val="24"/>
          <w:szCs w:val="24"/>
        </w:rPr>
        <w:t>секци</w:t>
      </w:r>
      <w:r w:rsidRPr="003A4B52">
        <w:rPr>
          <w:rFonts w:ascii="Times New Roman" w:hAnsi="Times New Roman"/>
          <w:sz w:val="24"/>
          <w:szCs w:val="24"/>
        </w:rPr>
        <w:t>ях</w:t>
      </w:r>
      <w:r w:rsidR="002D6BDE" w:rsidRPr="003A4B52">
        <w:rPr>
          <w:rFonts w:ascii="Times New Roman" w:hAnsi="Times New Roman"/>
          <w:sz w:val="24"/>
          <w:szCs w:val="24"/>
        </w:rPr>
        <w:t xml:space="preserve"> </w:t>
      </w:r>
      <w:r w:rsidR="00D90C71">
        <w:rPr>
          <w:rFonts w:ascii="Times New Roman" w:hAnsi="Times New Roman"/>
          <w:sz w:val="24"/>
          <w:szCs w:val="24"/>
        </w:rPr>
        <w:t>«</w:t>
      </w:r>
      <w:r w:rsidR="002D6BDE" w:rsidRPr="003A4B52">
        <w:rPr>
          <w:rFonts w:ascii="Times New Roman" w:hAnsi="Times New Roman"/>
          <w:sz w:val="24"/>
          <w:szCs w:val="24"/>
        </w:rPr>
        <w:t>Строительная теплофизика и энергоэффективное проектирование ограждающих конструкций зданий</w:t>
      </w:r>
      <w:r w:rsidR="00D90C71">
        <w:rPr>
          <w:rFonts w:ascii="Times New Roman" w:hAnsi="Times New Roman"/>
          <w:sz w:val="24"/>
          <w:szCs w:val="24"/>
        </w:rPr>
        <w:t>»</w:t>
      </w:r>
      <w:r w:rsidRPr="003A4B52">
        <w:rPr>
          <w:rFonts w:ascii="Times New Roman" w:hAnsi="Times New Roman"/>
          <w:sz w:val="24"/>
          <w:szCs w:val="24"/>
        </w:rPr>
        <w:t>, «Способы снижения энергопотребления системами отопления, вентиляции и кондиционирования воздуха»</w:t>
      </w:r>
      <w:r>
        <w:rPr>
          <w:rFonts w:ascii="Times New Roman" w:hAnsi="Times New Roman"/>
          <w:sz w:val="24"/>
          <w:szCs w:val="24"/>
        </w:rPr>
        <w:t>.</w:t>
      </w:r>
    </w:p>
    <w:p w:rsidR="00846519" w:rsidRDefault="00846519" w:rsidP="00D90C71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BDE" w:rsidRPr="001669F5" w:rsidRDefault="002D6BDE" w:rsidP="00D90C71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1669F5">
        <w:rPr>
          <w:rFonts w:ascii="Times New Roman" w:hAnsi="Times New Roman"/>
          <w:sz w:val="24"/>
          <w:szCs w:val="24"/>
        </w:rPr>
        <w:t>В текущем году в рамках осуществления информационной политики Партнерство также выполняло следующие задачи:</w:t>
      </w:r>
    </w:p>
    <w:p w:rsidR="002D6BDE" w:rsidRPr="001669F5" w:rsidRDefault="002D6BDE" w:rsidP="002D6BDE">
      <w:pPr>
        <w:pStyle w:val="a4"/>
        <w:numPr>
          <w:ilvl w:val="0"/>
          <w:numId w:val="8"/>
        </w:numPr>
        <w:spacing w:after="1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9F5">
        <w:rPr>
          <w:rFonts w:ascii="Times New Roman" w:hAnsi="Times New Roman"/>
          <w:sz w:val="24"/>
          <w:szCs w:val="24"/>
        </w:rPr>
        <w:t xml:space="preserve"> обеспечение информацией о деятельности Партнерства заинтересованных лиц, в том числе путем размещения информации на официальном сайте Партнерства;</w:t>
      </w:r>
    </w:p>
    <w:p w:rsidR="002D6BDE" w:rsidRPr="00697468" w:rsidRDefault="002D6BDE" w:rsidP="002D6BDE">
      <w:pPr>
        <w:pStyle w:val="a4"/>
        <w:numPr>
          <w:ilvl w:val="0"/>
          <w:numId w:val="8"/>
        </w:numPr>
        <w:spacing w:after="10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hAnsi="Times New Roman"/>
          <w:sz w:val="24"/>
          <w:szCs w:val="24"/>
        </w:rPr>
        <w:t xml:space="preserve"> взаимодействие со СМИ для своевременного информирования общественности о важнейших событиях в деятельности Партнерства, а также его членов. За 201</w:t>
      </w:r>
      <w:r w:rsidR="003A4B52">
        <w:rPr>
          <w:rFonts w:ascii="Times New Roman" w:hAnsi="Times New Roman"/>
          <w:sz w:val="24"/>
          <w:szCs w:val="24"/>
        </w:rPr>
        <w:t>4</w:t>
      </w:r>
      <w:r w:rsidRPr="00697468">
        <w:rPr>
          <w:rFonts w:ascii="Times New Roman" w:hAnsi="Times New Roman"/>
          <w:sz w:val="24"/>
          <w:szCs w:val="24"/>
        </w:rPr>
        <w:t xml:space="preserve"> год опубликовано более </w:t>
      </w:r>
      <w:r w:rsidR="003A4B52">
        <w:rPr>
          <w:rFonts w:ascii="Times New Roman" w:hAnsi="Times New Roman"/>
          <w:sz w:val="24"/>
          <w:szCs w:val="24"/>
        </w:rPr>
        <w:t>15</w:t>
      </w:r>
      <w:r w:rsidRPr="00697468">
        <w:rPr>
          <w:rFonts w:ascii="Times New Roman" w:hAnsi="Times New Roman"/>
          <w:sz w:val="24"/>
          <w:szCs w:val="24"/>
        </w:rPr>
        <w:t xml:space="preserve"> материалов в профильных и общественно-деловых СМИ. На сегодняшний день </w:t>
      </w:r>
      <w:r w:rsidRPr="00697468">
        <w:rPr>
          <w:rFonts w:ascii="Times New Roman" w:eastAsia="Times New Roman" w:hAnsi="Times New Roman"/>
          <w:sz w:val="24"/>
          <w:szCs w:val="24"/>
        </w:rPr>
        <w:t>в целях информирования общественности о деятельности Партнерства и продвижения компаний-членов Партнерства осуществляется сотрудничество с такими ведущими специализированными, деловыми и общественно-политическими СМИ, как:</w:t>
      </w:r>
    </w:p>
    <w:p w:rsidR="002D6BDE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«Балтийский горизонт»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3A4B52" w:rsidRPr="00697468" w:rsidRDefault="003A4B52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>журнал «Инженерные системы»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</w:t>
      </w:r>
      <w:r w:rsidR="003A4B52">
        <w:rPr>
          <w:rFonts w:ascii="Times New Roman" w:eastAsia="Times New Roman" w:hAnsi="Times New Roman"/>
          <w:sz w:val="24"/>
          <w:szCs w:val="24"/>
        </w:rPr>
        <w:t xml:space="preserve"> «Еврострой»;</w:t>
      </w:r>
      <w:r w:rsidRPr="006974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«Вестник строительного комплекса»;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>газета «Кто строит в Петербурге»;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«Бизнес-информ»;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газета «Строительный еженедельник»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«Энергонадзор-Информ»;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</w:t>
      </w:r>
      <w:r w:rsidR="003A4B52">
        <w:rPr>
          <w:rFonts w:ascii="Times New Roman" w:eastAsia="Times New Roman" w:hAnsi="Times New Roman"/>
          <w:sz w:val="24"/>
          <w:szCs w:val="24"/>
        </w:rPr>
        <w:t xml:space="preserve">журнал </w:t>
      </w:r>
      <w:r w:rsidR="003A4B52" w:rsidRPr="00697468">
        <w:rPr>
          <w:rFonts w:ascii="Times New Roman" w:eastAsia="Times New Roman" w:hAnsi="Times New Roman"/>
          <w:sz w:val="24"/>
          <w:szCs w:val="24"/>
        </w:rPr>
        <w:t>«Российский строительный комплекс»;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газета «Энергетика и промышленность России»;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журнал «Строительство и городское хозяйство»;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телеканал «Строй-ТВ»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интернет-портал: «Саморегулирование в строительной отрасли»;</w:t>
      </w:r>
    </w:p>
    <w:p w:rsidR="002D6BDE" w:rsidRPr="00697468" w:rsidRDefault="002D6BDE" w:rsidP="002D6B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eastAsia="Times New Roman" w:hAnsi="Times New Roman"/>
          <w:sz w:val="24"/>
          <w:szCs w:val="24"/>
        </w:rPr>
        <w:t xml:space="preserve"> информационный интернет-портал 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SROportal</w:t>
      </w:r>
      <w:r w:rsidRPr="00697468">
        <w:rPr>
          <w:rFonts w:ascii="Times New Roman" w:eastAsia="Times New Roman" w:hAnsi="Times New Roman"/>
          <w:sz w:val="24"/>
          <w:szCs w:val="24"/>
        </w:rPr>
        <w:t>.</w:t>
      </w:r>
      <w:r w:rsidRPr="00697468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697468">
        <w:rPr>
          <w:rFonts w:ascii="Times New Roman" w:eastAsia="Times New Roman" w:hAnsi="Times New Roman"/>
          <w:sz w:val="24"/>
          <w:szCs w:val="24"/>
        </w:rPr>
        <w:t>.</w:t>
      </w:r>
    </w:p>
    <w:p w:rsidR="002D6BDE" w:rsidRDefault="00EF3833" w:rsidP="00EF3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2D6BDE">
        <w:rPr>
          <w:rFonts w:ascii="Times New Roman" w:hAnsi="Times New Roman"/>
          <w:b/>
          <w:sz w:val="24"/>
          <w:szCs w:val="24"/>
        </w:rPr>
        <w:lastRenderedPageBreak/>
        <w:t>Юридический отдел</w:t>
      </w:r>
    </w:p>
    <w:p w:rsidR="00BB5BA2" w:rsidRDefault="00BB5BA2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BA2" w:rsidRPr="004C3461" w:rsidRDefault="00BB5BA2" w:rsidP="006F280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 xml:space="preserve">Одним из направлений деятельности </w:t>
      </w:r>
      <w:r w:rsidR="00D90C71" w:rsidRPr="004C3461">
        <w:rPr>
          <w:rFonts w:ascii="Times New Roman" w:hAnsi="Times New Roman"/>
          <w:sz w:val="24"/>
          <w:szCs w:val="24"/>
        </w:rPr>
        <w:t xml:space="preserve">Юридического </w:t>
      </w:r>
      <w:r w:rsidRPr="004C3461">
        <w:rPr>
          <w:rFonts w:ascii="Times New Roman" w:hAnsi="Times New Roman"/>
          <w:sz w:val="24"/>
          <w:szCs w:val="24"/>
        </w:rPr>
        <w:t>отдела в 2014 году стала подготовка изменений в действующие локальные акты Партнерства.</w:t>
      </w:r>
    </w:p>
    <w:p w:rsidR="004C3461" w:rsidRPr="004C3461" w:rsidRDefault="00BB5BA2" w:rsidP="006F2809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4C3461">
        <w:rPr>
          <w:rFonts w:ascii="Times New Roman" w:hAnsi="Times New Roman"/>
          <w:sz w:val="24"/>
          <w:szCs w:val="24"/>
        </w:rPr>
        <w:t xml:space="preserve">С целью оптимизации и упрощения порядка оформления и прохождения документов при приеме юридических лиц и (или) индивидуальных предпринимателей в НП «БалтЭнергоЭффект» и выдаче свидетельств о членстве, а также при прекращении членства в Партнерстве подготовлены изменения в </w:t>
      </w:r>
      <w:r w:rsidRPr="004C3461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приема в члены и прекращения членства в Некоммерческом партнерстве «Балтийское объединение специализированных подрядчиков в области энергетического обследования «БалтЭнергоЭффект». </w:t>
      </w:r>
      <w:r w:rsidR="004C3461" w:rsidRPr="004C34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BB5BA2" w:rsidRPr="004C3461" w:rsidRDefault="00BB5BA2" w:rsidP="00BB5BA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>Сформирован и направлен в Министерство юстиции Российской Федерации отчет о деятельности некоммерческой организации в 2013 году.</w:t>
      </w:r>
    </w:p>
    <w:p w:rsidR="00BB5BA2" w:rsidRPr="004C3461" w:rsidRDefault="00BB5BA2" w:rsidP="00BB5B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>В повседневной практике юридический отдел осуществляет:</w:t>
      </w:r>
    </w:p>
    <w:p w:rsidR="00BB5BA2" w:rsidRPr="004C3461" w:rsidRDefault="00BB5BA2" w:rsidP="00BB5B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 xml:space="preserve">подготовку ответов на обращения, поступающие в адрес Партнерства от членов саморегулируемой организации, государственных органов, учреждений и иных организаций; </w:t>
      </w:r>
    </w:p>
    <w:p w:rsidR="00BB5BA2" w:rsidRPr="004C3461" w:rsidRDefault="00BB5BA2" w:rsidP="00BB5B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>правовую экспертизу хозяйственных договоров и соглашений, заключаемых Партнерством;</w:t>
      </w:r>
    </w:p>
    <w:p w:rsidR="00BB5BA2" w:rsidRPr="004C3461" w:rsidRDefault="00BB5BA2" w:rsidP="00BB5B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>судебную работу  по взысканию задолженности по уплате членских взносов;</w:t>
      </w:r>
    </w:p>
    <w:p w:rsidR="00BB5BA2" w:rsidRPr="004C3461" w:rsidRDefault="00BB5BA2" w:rsidP="00BB5B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>аналитическую работу по отслеживанию, анализу, а также подготовке замечаний и предложений к проектам нормативных правовых актов, находящихся в стадии разработки;</w:t>
      </w:r>
    </w:p>
    <w:p w:rsidR="00BB5BA2" w:rsidRPr="004C3461" w:rsidRDefault="00BB5BA2" w:rsidP="00BB5BA2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>оказывает правовую поддержку и сопровождение деятельности структурных подразделений Партнерства, в том числе:</w:t>
      </w:r>
    </w:p>
    <w:p w:rsidR="00BB5BA2" w:rsidRPr="004C3461" w:rsidRDefault="00BB5BA2" w:rsidP="00BB5B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>– Бухгалтерии по вопросам налогового учета и открытия счетов в банках;</w:t>
      </w:r>
    </w:p>
    <w:p w:rsidR="00BB5BA2" w:rsidRPr="004C3461" w:rsidRDefault="00BB5BA2" w:rsidP="00BB5B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>– Департамент</w:t>
      </w:r>
      <w:r w:rsidR="004C3461" w:rsidRPr="004C3461">
        <w:rPr>
          <w:rFonts w:ascii="Times New Roman" w:hAnsi="Times New Roman"/>
          <w:sz w:val="24"/>
          <w:szCs w:val="24"/>
        </w:rPr>
        <w:t>у</w:t>
      </w:r>
      <w:r w:rsidRPr="004C3461">
        <w:rPr>
          <w:rFonts w:ascii="Times New Roman" w:hAnsi="Times New Roman"/>
          <w:sz w:val="24"/>
          <w:szCs w:val="24"/>
        </w:rPr>
        <w:t xml:space="preserve"> по экспертно-методической работе по вопросам приема в члены Партнерства, выдачи свидетельств о членстве, а также прекращения членства в саморегулируемой организации;</w:t>
      </w:r>
    </w:p>
    <w:p w:rsidR="00BB5BA2" w:rsidRPr="004C3461" w:rsidRDefault="00BB5BA2" w:rsidP="00BB5B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3461">
        <w:rPr>
          <w:rFonts w:ascii="Times New Roman" w:hAnsi="Times New Roman"/>
          <w:sz w:val="24"/>
          <w:szCs w:val="24"/>
        </w:rPr>
        <w:t>– Отдел</w:t>
      </w:r>
      <w:r w:rsidR="004C3461" w:rsidRPr="004C3461">
        <w:rPr>
          <w:rFonts w:ascii="Times New Roman" w:hAnsi="Times New Roman"/>
          <w:sz w:val="24"/>
          <w:szCs w:val="24"/>
        </w:rPr>
        <w:t>у</w:t>
      </w:r>
      <w:r w:rsidRPr="004C3461">
        <w:rPr>
          <w:rFonts w:ascii="Times New Roman" w:hAnsi="Times New Roman"/>
          <w:sz w:val="24"/>
          <w:szCs w:val="24"/>
        </w:rPr>
        <w:t xml:space="preserve"> информатизации и организации ведения реестра по вопросам заполнения свидетельства о членстве и ведения реестра членов Партнерства;</w:t>
      </w:r>
    </w:p>
    <w:p w:rsidR="00BB5BA2" w:rsidRPr="004C3461" w:rsidRDefault="00BB5BA2" w:rsidP="00BB5BA2">
      <w:pPr>
        <w:spacing w:after="0" w:line="240" w:lineRule="auto"/>
        <w:ind w:firstLine="426"/>
        <w:jc w:val="both"/>
      </w:pPr>
      <w:r w:rsidRPr="004C3461">
        <w:rPr>
          <w:rFonts w:ascii="Times New Roman" w:hAnsi="Times New Roman"/>
          <w:sz w:val="24"/>
          <w:szCs w:val="24"/>
        </w:rPr>
        <w:t>– Обще</w:t>
      </w:r>
      <w:r w:rsidR="004C3461" w:rsidRPr="004C3461">
        <w:rPr>
          <w:rFonts w:ascii="Times New Roman" w:hAnsi="Times New Roman"/>
          <w:sz w:val="24"/>
          <w:szCs w:val="24"/>
        </w:rPr>
        <w:t>му</w:t>
      </w:r>
      <w:r w:rsidRPr="004C3461">
        <w:rPr>
          <w:rFonts w:ascii="Times New Roman" w:hAnsi="Times New Roman"/>
          <w:sz w:val="24"/>
          <w:szCs w:val="24"/>
        </w:rPr>
        <w:t xml:space="preserve"> отдел</w:t>
      </w:r>
      <w:r w:rsidR="004C3461" w:rsidRPr="004C3461">
        <w:rPr>
          <w:rFonts w:ascii="Times New Roman" w:hAnsi="Times New Roman"/>
          <w:sz w:val="24"/>
          <w:szCs w:val="24"/>
        </w:rPr>
        <w:t>у</w:t>
      </w:r>
      <w:r w:rsidRPr="004C3461">
        <w:rPr>
          <w:rFonts w:ascii="Times New Roman" w:hAnsi="Times New Roman"/>
          <w:sz w:val="24"/>
          <w:szCs w:val="24"/>
        </w:rPr>
        <w:t xml:space="preserve"> по вопросам согласования протоколов Совета партнерства.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833" w:rsidRDefault="00EF3833" w:rsidP="002D6BDE">
      <w:pPr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по экспертно-методической работе</w:t>
      </w: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по экспертно-методической работе осуществляет организацию приема от юридических и физических лиц, индивидуальных предпринимателей, осуществляющих деятельность в области энергетического обследования, заявлений о принятии в члены СРО, о выдаче свидетельств о членстве в саморегулируемой организации, а также выполняет разработку требований и  методических рекомендаций по вопросам, связанным с приемом в члены СРО.</w:t>
      </w:r>
    </w:p>
    <w:p w:rsidR="004C3461" w:rsidRDefault="002D6BDE" w:rsidP="002D6BDE">
      <w:pPr>
        <w:pStyle w:val="a3"/>
        <w:spacing w:before="0" w:beforeAutospacing="0" w:after="0" w:afterAutospacing="0"/>
        <w:ind w:firstLine="567"/>
        <w:jc w:val="both"/>
      </w:pPr>
      <w:r w:rsidRPr="00470ED3">
        <w:t>В 201</w:t>
      </w:r>
      <w:r w:rsidR="00FF3058">
        <w:t>4</w:t>
      </w:r>
      <w:r w:rsidRPr="00470ED3">
        <w:t xml:space="preserve"> году сотрудниками Департамента по Экспертно-методической работе Партнерства принято и направлено на рассмотрение Совета </w:t>
      </w:r>
      <w:r w:rsidR="004C3461">
        <w:t>4</w:t>
      </w:r>
      <w:r>
        <w:t xml:space="preserve"> </w:t>
      </w:r>
      <w:r w:rsidRPr="00470ED3">
        <w:t>заявлени</w:t>
      </w:r>
      <w:r w:rsidR="004C3461">
        <w:t>я</w:t>
      </w:r>
      <w:r w:rsidRPr="00470ED3">
        <w:t xml:space="preserve"> о приеме в члены Партнерства. На основании решений Совета в состав Партнерства принято </w:t>
      </w:r>
      <w:r w:rsidR="004C3461">
        <w:t>4</w:t>
      </w:r>
      <w:r w:rsidRPr="00470ED3">
        <w:t xml:space="preserve"> организаци</w:t>
      </w:r>
      <w:r w:rsidR="004C3461">
        <w:t>и</w:t>
      </w:r>
      <w:r w:rsidRPr="00470ED3">
        <w:t xml:space="preserve">, </w:t>
      </w:r>
      <w:r w:rsidR="006F2809">
        <w:t>(1</w:t>
      </w:r>
      <w:r w:rsidR="004C3461">
        <w:t xml:space="preserve"> из</w:t>
      </w:r>
      <w:r w:rsidRPr="00470ED3">
        <w:t xml:space="preserve"> Санкт-Петербурга и </w:t>
      </w:r>
      <w:r w:rsidR="006F2809">
        <w:t>3 из других регионов России)</w:t>
      </w:r>
      <w:r w:rsidR="004C3461">
        <w:t>.</w:t>
      </w:r>
    </w:p>
    <w:p w:rsidR="002D6BDE" w:rsidRDefault="002D6BDE" w:rsidP="002D6BDE">
      <w:pPr>
        <w:pStyle w:val="a3"/>
        <w:spacing w:before="0" w:beforeAutospacing="0" w:after="0" w:afterAutospacing="0"/>
        <w:ind w:firstLine="567"/>
        <w:jc w:val="both"/>
      </w:pPr>
      <w:r>
        <w:t>В 201</w:t>
      </w:r>
      <w:r w:rsidR="004C3461">
        <w:t>4</w:t>
      </w:r>
      <w:r>
        <w:t xml:space="preserve"> году членство </w:t>
      </w:r>
      <w:r w:rsidR="004C3461">
        <w:t>1</w:t>
      </w:r>
      <w:r w:rsidR="00420D25">
        <w:t>9</w:t>
      </w:r>
      <w:r>
        <w:t xml:space="preserve"> организаций было прекращено</w:t>
      </w:r>
      <w:r w:rsidR="00420D25">
        <w:t xml:space="preserve"> в связи с подачей заявления о добровольном прекращении членства или вследствие прекращения своей деятельности.</w:t>
      </w:r>
    </w:p>
    <w:p w:rsidR="00625D25" w:rsidRDefault="00625D25" w:rsidP="00625D25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46519" w:rsidRDefault="00846519" w:rsidP="00625D25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625D25" w:rsidRDefault="00625D25" w:rsidP="00625D25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625D25">
        <w:rPr>
          <w:b/>
          <w:bCs/>
          <w:sz w:val="28"/>
          <w:szCs w:val="28"/>
        </w:rPr>
        <w:lastRenderedPageBreak/>
        <w:t>В 20</w:t>
      </w:r>
      <w:r>
        <w:rPr>
          <w:b/>
          <w:bCs/>
          <w:sz w:val="28"/>
          <w:szCs w:val="28"/>
        </w:rPr>
        <w:t>14 году в НП «БалтЭнергоЭффект»</w:t>
      </w:r>
    </w:p>
    <w:p w:rsidR="00625D25" w:rsidRPr="00625D25" w:rsidRDefault="00625D25" w:rsidP="00625D25">
      <w:pPr>
        <w:pStyle w:val="a3"/>
        <w:spacing w:before="0" w:beforeAutospacing="0" w:after="240" w:afterAutospacing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принято </w:t>
      </w:r>
      <w:r w:rsidRPr="00625D25">
        <w:rPr>
          <w:b/>
          <w:bCs/>
          <w:sz w:val="28"/>
          <w:szCs w:val="28"/>
        </w:rPr>
        <w:t>4 члена, исключено 19 членов</w:t>
      </w:r>
    </w:p>
    <w:p w:rsidR="008030F9" w:rsidRDefault="00625D25" w:rsidP="00625D25">
      <w:pPr>
        <w:pStyle w:val="a3"/>
        <w:spacing w:before="0" w:beforeAutospacing="0" w:after="0" w:afterAutospacing="0"/>
        <w:jc w:val="center"/>
      </w:pPr>
      <w:r w:rsidRPr="00625D25">
        <w:rPr>
          <w:noProof/>
        </w:rPr>
        <w:drawing>
          <wp:inline distT="0" distB="0" distL="0" distR="0">
            <wp:extent cx="5677319" cy="3446585"/>
            <wp:effectExtent l="0" t="0" r="19050" b="20955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6BDE" w:rsidRDefault="002D6BDE" w:rsidP="002D6BDE">
      <w:pPr>
        <w:pStyle w:val="a3"/>
        <w:spacing w:before="0" w:beforeAutospacing="0" w:after="0" w:afterAutospacing="0"/>
        <w:ind w:firstLine="567"/>
        <w:jc w:val="both"/>
      </w:pPr>
    </w:p>
    <w:p w:rsidR="002D6BDE" w:rsidRDefault="008030F9" w:rsidP="002D6BDE">
      <w:pPr>
        <w:pStyle w:val="a3"/>
        <w:spacing w:before="0" w:beforeAutospacing="0" w:after="0" w:afterAutospacing="0"/>
        <w:ind w:firstLine="567"/>
        <w:jc w:val="both"/>
      </w:pPr>
      <w:r>
        <w:t>Здесь следует учесть ряд факторов.</w:t>
      </w:r>
    </w:p>
    <w:p w:rsidR="00846519" w:rsidRDefault="00846519" w:rsidP="002D6BDE">
      <w:pPr>
        <w:pStyle w:val="a3"/>
        <w:spacing w:before="0" w:beforeAutospacing="0" w:after="0" w:afterAutospacing="0"/>
        <w:ind w:firstLine="567"/>
        <w:jc w:val="both"/>
      </w:pPr>
    </w:p>
    <w:p w:rsidR="004C3461" w:rsidRDefault="008030F9" w:rsidP="00846519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>
        <w:t>С</w:t>
      </w:r>
      <w:r w:rsidR="004C3461">
        <w:t>рок обязательного энергетического обследования истек 31 декабря 2012 года, и активность заказчиков обследования резко спала.</w:t>
      </w:r>
    </w:p>
    <w:p w:rsidR="008030F9" w:rsidRDefault="008030F9" w:rsidP="00846519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>
        <w:t>Контрольно-надзорные органы в регионах не активизировали свою деятельность в отношении организаций, не прошедших обязательное энергетическое обследование. Так, Управление Ростехнадзора по Северо-Западу должно было осуществить проверку 4 500 организаций по Северо-Западу, из них 3 500 по Санкт-Петербургу. Однако данных по результатам проверки нет, а самое главное – нет никакого эффекта.</w:t>
      </w:r>
    </w:p>
    <w:p w:rsidR="008030F9" w:rsidRDefault="008030F9" w:rsidP="00846519">
      <w:pPr>
        <w:pStyle w:val="a3"/>
        <w:numPr>
          <w:ilvl w:val="0"/>
          <w:numId w:val="13"/>
        </w:numPr>
        <w:spacing w:before="0" w:beforeAutospacing="0" w:after="0" w:afterAutospacing="0"/>
        <w:ind w:left="0" w:firstLine="426"/>
        <w:jc w:val="both"/>
      </w:pPr>
      <w:r>
        <w:t xml:space="preserve">Несмотря на ужесточение штрафных санкций в соответствии с принятым 399-ФЗ многим руководителям предприятий и генерирующих компаний проще </w:t>
      </w:r>
      <w:r w:rsidR="00842FAF">
        <w:t>заплатить административный штраф, чем заказывать полноценное энергетическое обследование.</w:t>
      </w:r>
    </w:p>
    <w:p w:rsidR="00842FAF" w:rsidRDefault="00842FAF" w:rsidP="00842FAF">
      <w:pPr>
        <w:pStyle w:val="a3"/>
        <w:spacing w:before="0" w:beforeAutospacing="0" w:after="0" w:afterAutospacing="0"/>
        <w:ind w:left="927"/>
        <w:jc w:val="both"/>
      </w:pPr>
    </w:p>
    <w:p w:rsidR="002D6BDE" w:rsidRDefault="002D6BDE" w:rsidP="002D6BDE">
      <w:pPr>
        <w:pStyle w:val="a3"/>
        <w:spacing w:before="0" w:beforeAutospacing="0" w:after="0" w:afterAutospacing="0"/>
        <w:ind w:firstLine="567"/>
        <w:jc w:val="both"/>
      </w:pPr>
      <w:r>
        <w:t xml:space="preserve">На сегодняшний день в трех субъектах Российской Федерации действуют  обособленные подразделения НП «БалтЭнергоЭффект» - территориальные управления,  а именно: </w:t>
      </w:r>
    </w:p>
    <w:tbl>
      <w:tblPr>
        <w:tblW w:w="9606" w:type="dxa"/>
        <w:tblInd w:w="108" w:type="dxa"/>
        <w:tblLook w:val="04A0"/>
      </w:tblPr>
      <w:tblGrid>
        <w:gridCol w:w="9606"/>
      </w:tblGrid>
      <w:tr w:rsidR="002D6BDE" w:rsidTr="00842FAF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2D6BDE" w:rsidRDefault="002D6BDE" w:rsidP="002D6B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Калининградской области.</w:t>
            </w:r>
          </w:p>
        </w:tc>
      </w:tr>
      <w:tr w:rsidR="002D6BDE" w:rsidTr="00842FAF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2D6BDE" w:rsidRDefault="002D6BDE" w:rsidP="002D6B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Иркутской области, Республике Бурятия и Республике Саха (Якутия).</w:t>
            </w:r>
          </w:p>
        </w:tc>
      </w:tr>
      <w:tr w:rsidR="002D6BDE" w:rsidTr="00842FAF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2D6BDE" w:rsidRDefault="002D6BDE" w:rsidP="002D6B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Югу России.</w:t>
            </w:r>
          </w:p>
          <w:p w:rsidR="002D6BDE" w:rsidRDefault="002D6BDE" w:rsidP="0042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представители Партнерства есть в Псковской области и в Республике Карелия.</w:t>
            </w:r>
          </w:p>
          <w:p w:rsidR="00842FAF" w:rsidRDefault="00842FAF" w:rsidP="0042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FAF" w:rsidRDefault="00842FAF" w:rsidP="0042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BDE" w:rsidRDefault="002D6BDE" w:rsidP="0042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18200" cy="2512060"/>
                  <wp:effectExtent l="0" t="0" r="6350" b="2540"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2D6BDE" w:rsidRDefault="002D6BDE" w:rsidP="002D6BDE">
      <w:pPr>
        <w:pStyle w:val="a3"/>
        <w:spacing w:before="0" w:beforeAutospacing="0" w:after="0" w:afterAutospacing="0"/>
        <w:ind w:firstLine="567"/>
        <w:jc w:val="both"/>
      </w:pPr>
    </w:p>
    <w:p w:rsidR="002D6BDE" w:rsidRDefault="002D6BDE" w:rsidP="002D6BDE">
      <w:pPr>
        <w:pStyle w:val="a3"/>
        <w:spacing w:before="0" w:beforeAutospacing="0" w:after="0" w:afterAutospacing="0"/>
        <w:ind w:firstLine="567"/>
        <w:jc w:val="both"/>
      </w:pPr>
      <w:r w:rsidRPr="009C70D3">
        <w:t xml:space="preserve">В общей сложности в составе территориальных управлений состоит  </w:t>
      </w:r>
      <w:r w:rsidR="00074DFC" w:rsidRPr="00074DFC">
        <w:rPr>
          <w:b/>
        </w:rPr>
        <w:t>22</w:t>
      </w:r>
      <w:r w:rsidRPr="00074DFC">
        <w:rPr>
          <w:b/>
        </w:rPr>
        <w:t xml:space="preserve"> </w:t>
      </w:r>
      <w:r w:rsidRPr="009C70D3">
        <w:t>организаци</w:t>
      </w:r>
      <w:r w:rsidR="00074DFC">
        <w:t>и</w:t>
      </w:r>
      <w:r w:rsidRPr="009C70D3">
        <w:t xml:space="preserve"> -  член</w:t>
      </w:r>
      <w:r>
        <w:t>ы</w:t>
      </w:r>
      <w:r w:rsidRPr="009C70D3">
        <w:t xml:space="preserve"> НП «БалтЭнергоЭффект».</w:t>
      </w:r>
    </w:p>
    <w:p w:rsidR="001935F1" w:rsidRDefault="002D6BDE" w:rsidP="002D6BDE">
      <w:pPr>
        <w:pStyle w:val="a3"/>
        <w:spacing w:before="0" w:beforeAutospacing="0" w:after="0" w:afterAutospacing="0"/>
        <w:ind w:firstLine="567"/>
        <w:jc w:val="both"/>
      </w:pPr>
      <w:r>
        <w:t>Основным направлением в деятельности Департамента по экспертно-методической работе в 201</w:t>
      </w:r>
      <w:r w:rsidR="00E366CA">
        <w:t>4</w:t>
      </w:r>
      <w:r>
        <w:t xml:space="preserve"> году было обеспечение регистрации энергетических паспортов и их электронная отправка в Минэнерго России. Переход на электронный документооборот был определен письмом заместителя министра энергетики Инюцына А.Ю. от 23.01.2013, что значительно ускорило оправку копий энергетических паспортов, их проверку в более сжатые сроки и в случае получения замечаний – скорейшее устранение недостатков.</w:t>
      </w:r>
      <w:r w:rsidR="00E366CA">
        <w:t xml:space="preserve"> </w:t>
      </w:r>
    </w:p>
    <w:p w:rsidR="002D6BDE" w:rsidRDefault="002D6BDE" w:rsidP="002D6BDE">
      <w:pPr>
        <w:pStyle w:val="a3"/>
        <w:spacing w:before="0" w:beforeAutospacing="0" w:after="0" w:afterAutospacing="0"/>
        <w:ind w:firstLine="567"/>
        <w:jc w:val="both"/>
      </w:pPr>
      <w:r>
        <w:t>Всего в СРО прошли регистрацию более 1</w:t>
      </w:r>
      <w:r w:rsidR="00110CF9">
        <w:t>6</w:t>
      </w:r>
      <w:r w:rsidR="00625D25">
        <w:t>3</w:t>
      </w:r>
      <w:r>
        <w:t xml:space="preserve">0 энергетических паспортов, из них </w:t>
      </w:r>
      <w:r w:rsidR="00110CF9">
        <w:t>1211</w:t>
      </w:r>
      <w:r>
        <w:t xml:space="preserve"> прошли проверку и получили учетный номер в Минэнерго России</w:t>
      </w:r>
      <w:r w:rsidR="001935F1">
        <w:t>, остальные находятся в работе</w:t>
      </w:r>
      <w:r>
        <w:t>.</w:t>
      </w:r>
    </w:p>
    <w:p w:rsidR="002D6BDE" w:rsidRDefault="002D6BDE" w:rsidP="002D6BDE">
      <w:pPr>
        <w:pStyle w:val="a3"/>
        <w:spacing w:before="0" w:beforeAutospacing="0" w:after="0" w:afterAutospacing="0"/>
        <w:ind w:firstLine="567"/>
        <w:jc w:val="both"/>
      </w:pPr>
      <w:r>
        <w:t>Ускорение процесса проверки копий энергетических паспортов в Минэнерго России прослеживается по данным о</w:t>
      </w:r>
      <w:r w:rsidR="00110CF9">
        <w:t>б</w:t>
      </w:r>
      <w:r>
        <w:t xml:space="preserve"> их регистрации.</w:t>
      </w:r>
    </w:p>
    <w:p w:rsidR="00074DFC" w:rsidRDefault="00074DFC" w:rsidP="002D6BDE">
      <w:pPr>
        <w:pStyle w:val="a3"/>
        <w:spacing w:before="0" w:beforeAutospacing="0" w:after="0" w:afterAutospacing="0"/>
        <w:ind w:firstLine="567"/>
        <w:jc w:val="both"/>
      </w:pPr>
    </w:p>
    <w:p w:rsidR="002D6BDE" w:rsidRPr="003D2162" w:rsidRDefault="002D6BDE" w:rsidP="002D6BDE">
      <w:pPr>
        <w:pStyle w:val="a3"/>
        <w:spacing w:before="120" w:beforeAutospacing="0" w:after="0" w:afterAutospacing="0"/>
        <w:ind w:firstLine="567"/>
        <w:jc w:val="center"/>
        <w:rPr>
          <w:b/>
          <w:sz w:val="32"/>
          <w:szCs w:val="32"/>
        </w:rPr>
      </w:pPr>
      <w:r w:rsidRPr="003D2162">
        <w:rPr>
          <w:b/>
          <w:sz w:val="32"/>
          <w:szCs w:val="32"/>
        </w:rPr>
        <w:t>Регистрация копий энергетических паспортов</w:t>
      </w:r>
    </w:p>
    <w:p w:rsidR="002D6BDE" w:rsidRDefault="002D6BDE" w:rsidP="002D6BDE">
      <w:pPr>
        <w:pStyle w:val="a3"/>
        <w:spacing w:before="0" w:beforeAutospacing="0" w:after="120" w:afterAutospacing="0"/>
        <w:ind w:firstLine="567"/>
        <w:jc w:val="center"/>
        <w:rPr>
          <w:b/>
          <w:sz w:val="32"/>
          <w:szCs w:val="32"/>
        </w:rPr>
      </w:pPr>
      <w:r w:rsidRPr="003D2162">
        <w:rPr>
          <w:b/>
          <w:sz w:val="32"/>
          <w:szCs w:val="32"/>
        </w:rPr>
        <w:t>в Министерстве энергетики РФ</w:t>
      </w:r>
    </w:p>
    <w:p w:rsidR="002D6BDE" w:rsidRPr="003D2162" w:rsidRDefault="002D6BDE" w:rsidP="002D6BDE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0CF9" w:rsidRDefault="00110CF9" w:rsidP="002D6BDE">
      <w:pPr>
        <w:pStyle w:val="a3"/>
        <w:spacing w:before="0" w:beforeAutospacing="0" w:after="0" w:afterAutospacing="0"/>
        <w:rPr>
          <w:b/>
        </w:rPr>
      </w:pPr>
    </w:p>
    <w:p w:rsidR="002D6BDE" w:rsidRDefault="00110CF9" w:rsidP="002D6BD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         </w:t>
      </w:r>
      <w:r w:rsidR="002D6BDE">
        <w:rPr>
          <w:b/>
        </w:rPr>
        <w:t>Отдел информатизации и организации ведения реестра (ОИ и ОВР)</w:t>
      </w: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Самой главой задачей отдела информатизации и ведения реестра в 201</w:t>
      </w:r>
      <w:r w:rsidR="00110C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являлась: </w:t>
      </w:r>
      <w:r w:rsidR="00110CF9">
        <w:rPr>
          <w:rFonts w:ascii="Times New Roman" w:hAnsi="Times New Roman"/>
          <w:sz w:val="24"/>
          <w:szCs w:val="24"/>
        </w:rPr>
        <w:t xml:space="preserve">обеспечение функционирования </w:t>
      </w:r>
      <w:r>
        <w:rPr>
          <w:rFonts w:ascii="Times New Roman" w:hAnsi="Times New Roman"/>
          <w:sz w:val="24"/>
          <w:szCs w:val="24"/>
        </w:rPr>
        <w:t>электронн</w:t>
      </w:r>
      <w:r w:rsidR="00110CF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документооборот</w:t>
      </w:r>
      <w:r w:rsidR="00110C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Минэнерго России</w:t>
      </w:r>
      <w:r w:rsidR="004E5907">
        <w:rPr>
          <w:rFonts w:ascii="Times New Roman" w:hAnsi="Times New Roman"/>
          <w:sz w:val="24"/>
          <w:szCs w:val="24"/>
        </w:rPr>
        <w:t xml:space="preserve"> с использованием</w:t>
      </w:r>
      <w:r>
        <w:rPr>
          <w:rFonts w:ascii="Times New Roman" w:hAnsi="Times New Roman"/>
          <w:sz w:val="24"/>
          <w:szCs w:val="24"/>
        </w:rPr>
        <w:t xml:space="preserve"> электронной цифровой подписи и обеспечение бесперебойной отправки копий энергопаспортов в электронном виде. Эта задача была успешно выполнена.</w:t>
      </w:r>
      <w:r w:rsidR="004E5907">
        <w:rPr>
          <w:rFonts w:ascii="Times New Roman" w:hAnsi="Times New Roman"/>
          <w:sz w:val="24"/>
          <w:szCs w:val="24"/>
        </w:rPr>
        <w:t xml:space="preserve"> Необходимо заметить, что с апреля по август электронная отправка копий энергетических паспортов была «заблокирована» по независящим от нас обстоятельствам: по причине сбоя в работе сервера Минэнерго России</w:t>
      </w:r>
      <w:r w:rsidR="001935F1">
        <w:rPr>
          <w:rFonts w:ascii="Times New Roman" w:hAnsi="Times New Roman"/>
          <w:sz w:val="24"/>
          <w:szCs w:val="24"/>
        </w:rPr>
        <w:t>. В этой связи  нами были направлены</w:t>
      </w:r>
      <w:r w:rsidR="004E5907">
        <w:rPr>
          <w:rFonts w:ascii="Times New Roman" w:hAnsi="Times New Roman"/>
          <w:sz w:val="24"/>
          <w:szCs w:val="24"/>
        </w:rPr>
        <w:t xml:space="preserve"> письма </w:t>
      </w:r>
      <w:r w:rsidR="001935F1">
        <w:rPr>
          <w:rFonts w:ascii="Times New Roman" w:hAnsi="Times New Roman"/>
          <w:sz w:val="24"/>
          <w:szCs w:val="24"/>
        </w:rPr>
        <w:t xml:space="preserve">в адрес </w:t>
      </w:r>
      <w:r w:rsidR="00625D25">
        <w:rPr>
          <w:rFonts w:ascii="Times New Roman" w:hAnsi="Times New Roman"/>
          <w:sz w:val="24"/>
          <w:szCs w:val="24"/>
        </w:rPr>
        <w:t xml:space="preserve">заместителя </w:t>
      </w:r>
      <w:r w:rsidR="004E5907">
        <w:rPr>
          <w:rFonts w:ascii="Times New Roman" w:hAnsi="Times New Roman"/>
          <w:sz w:val="24"/>
          <w:szCs w:val="24"/>
        </w:rPr>
        <w:t>министра и министра энергетики России, депутатов Гос</w:t>
      </w:r>
      <w:r w:rsidR="00625D25">
        <w:rPr>
          <w:rFonts w:ascii="Times New Roman" w:hAnsi="Times New Roman"/>
          <w:sz w:val="24"/>
          <w:szCs w:val="24"/>
        </w:rPr>
        <w:t xml:space="preserve">ударственной </w:t>
      </w:r>
      <w:r w:rsidR="004E5907">
        <w:rPr>
          <w:rFonts w:ascii="Times New Roman" w:hAnsi="Times New Roman"/>
          <w:sz w:val="24"/>
          <w:szCs w:val="24"/>
        </w:rPr>
        <w:t>Думы,</w:t>
      </w:r>
      <w:r w:rsidR="00625D25">
        <w:rPr>
          <w:rFonts w:ascii="Times New Roman" w:hAnsi="Times New Roman"/>
          <w:sz w:val="24"/>
          <w:szCs w:val="24"/>
        </w:rPr>
        <w:t xml:space="preserve"> с</w:t>
      </w:r>
      <w:r w:rsidR="004E5907">
        <w:rPr>
          <w:rFonts w:ascii="Times New Roman" w:hAnsi="Times New Roman"/>
          <w:sz w:val="24"/>
          <w:szCs w:val="24"/>
        </w:rPr>
        <w:t xml:space="preserve"> подключ</w:t>
      </w:r>
      <w:r w:rsidR="00625D25">
        <w:rPr>
          <w:rFonts w:ascii="Times New Roman" w:hAnsi="Times New Roman"/>
          <w:sz w:val="24"/>
          <w:szCs w:val="24"/>
        </w:rPr>
        <w:t>ением</w:t>
      </w:r>
      <w:r w:rsidR="004E5907">
        <w:rPr>
          <w:rFonts w:ascii="Times New Roman" w:hAnsi="Times New Roman"/>
          <w:sz w:val="24"/>
          <w:szCs w:val="24"/>
        </w:rPr>
        <w:t xml:space="preserve"> НОЭ, Торгово-промышленн</w:t>
      </w:r>
      <w:r w:rsidR="00625D25">
        <w:rPr>
          <w:rFonts w:ascii="Times New Roman" w:hAnsi="Times New Roman"/>
          <w:sz w:val="24"/>
          <w:szCs w:val="24"/>
        </w:rPr>
        <w:t>ой</w:t>
      </w:r>
      <w:r w:rsidR="004E5907">
        <w:rPr>
          <w:rFonts w:ascii="Times New Roman" w:hAnsi="Times New Roman"/>
          <w:sz w:val="24"/>
          <w:szCs w:val="24"/>
        </w:rPr>
        <w:t xml:space="preserve"> палат</w:t>
      </w:r>
      <w:r w:rsidR="00625D25">
        <w:rPr>
          <w:rFonts w:ascii="Times New Roman" w:hAnsi="Times New Roman"/>
          <w:sz w:val="24"/>
          <w:szCs w:val="24"/>
        </w:rPr>
        <w:t>ы</w:t>
      </w:r>
      <w:r w:rsidR="004E5907">
        <w:rPr>
          <w:rFonts w:ascii="Times New Roman" w:hAnsi="Times New Roman"/>
          <w:sz w:val="24"/>
          <w:szCs w:val="24"/>
        </w:rPr>
        <w:t xml:space="preserve"> России</w:t>
      </w:r>
      <w:r w:rsidR="001935F1">
        <w:rPr>
          <w:rFonts w:ascii="Times New Roman" w:hAnsi="Times New Roman"/>
          <w:sz w:val="24"/>
          <w:szCs w:val="24"/>
        </w:rPr>
        <w:t>.</w:t>
      </w:r>
    </w:p>
    <w:p w:rsidR="002D6BDE" w:rsidRDefault="004E5907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D6BDE">
        <w:rPr>
          <w:rFonts w:ascii="Times New Roman" w:hAnsi="Times New Roman"/>
          <w:sz w:val="24"/>
          <w:szCs w:val="24"/>
        </w:rPr>
        <w:t xml:space="preserve"> компетенцию отдела входят:</w:t>
      </w:r>
    </w:p>
    <w:p w:rsidR="002D6BDE" w:rsidRDefault="002D6BDE" w:rsidP="002D6BDE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функционирования комплекса технических и программных средств автоматизации деятельности Партнерства; </w:t>
      </w:r>
    </w:p>
    <w:p w:rsidR="002D6BDE" w:rsidRDefault="002D6BDE" w:rsidP="002D6BDE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централизованное ведение Реестра членов саморегулируемой организации, обеспечение доступа к информации о членах, обязательной к раскрытию в порядке и объеме, устанавливаемом в соответствии с законодательством РФ, а также выполнение мероприятий, предусмотренных законодательством для обеспечения конфиденциальности;</w:t>
      </w:r>
    </w:p>
    <w:p w:rsidR="002D6BDE" w:rsidRDefault="002D6BDE" w:rsidP="002D6BDE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своевременное уведомление федерального органа исполнительной власти (Минэнерго РФ) об изменении в уставных и других внутренних документах Партнерства, а также об изменении численности членов; </w:t>
      </w:r>
    </w:p>
    <w:p w:rsidR="002D6BDE" w:rsidRDefault="002D6BDE" w:rsidP="002D6BDE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направления в федеральный орган исполнительной власти (Минэнерго РФ) энергетических паспортов;</w:t>
      </w:r>
    </w:p>
    <w:p w:rsidR="002D6BDE" w:rsidRDefault="002D6BDE" w:rsidP="002D6BDE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информационной безопасности в области информационных систем и телекоммуникаций; </w:t>
      </w:r>
    </w:p>
    <w:p w:rsidR="002D6BDE" w:rsidRDefault="002D6BDE" w:rsidP="002D6BDE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содействия в поддержании и насыщении сайта Партнерства;</w:t>
      </w:r>
    </w:p>
    <w:p w:rsidR="002D6BDE" w:rsidRDefault="002D6BDE" w:rsidP="002D6BDE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проработка перспективных направлений развития в сфере компьютеризации.</w:t>
      </w:r>
    </w:p>
    <w:p w:rsidR="00EF3833" w:rsidRDefault="00EF3833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0D3">
        <w:rPr>
          <w:rFonts w:ascii="Times New Roman" w:hAnsi="Times New Roman"/>
          <w:sz w:val="24"/>
          <w:szCs w:val="24"/>
        </w:rPr>
        <w:t>В 201</w:t>
      </w:r>
      <w:r w:rsidR="00950DFF">
        <w:rPr>
          <w:rFonts w:ascii="Times New Roman" w:hAnsi="Times New Roman"/>
          <w:sz w:val="24"/>
          <w:szCs w:val="24"/>
        </w:rPr>
        <w:t>4</w:t>
      </w:r>
      <w:r w:rsidRPr="009C70D3">
        <w:rPr>
          <w:rFonts w:ascii="Times New Roman" w:hAnsi="Times New Roman"/>
          <w:sz w:val="24"/>
          <w:szCs w:val="24"/>
        </w:rPr>
        <w:t xml:space="preserve"> году в Реестр членов Партн</w:t>
      </w:r>
      <w:r>
        <w:rPr>
          <w:rFonts w:ascii="Times New Roman" w:hAnsi="Times New Roman"/>
          <w:sz w:val="24"/>
          <w:szCs w:val="24"/>
        </w:rPr>
        <w:t xml:space="preserve">ерства были введены данные по </w:t>
      </w:r>
      <w:r w:rsidR="00CC1275" w:rsidRPr="00CC1275">
        <w:rPr>
          <w:rFonts w:ascii="Times New Roman" w:hAnsi="Times New Roman"/>
          <w:b/>
          <w:sz w:val="24"/>
          <w:szCs w:val="24"/>
        </w:rPr>
        <w:t>25</w:t>
      </w:r>
      <w:r w:rsidR="00CC1275">
        <w:rPr>
          <w:rFonts w:ascii="Times New Roman" w:hAnsi="Times New Roman"/>
          <w:sz w:val="24"/>
          <w:szCs w:val="24"/>
        </w:rPr>
        <w:t xml:space="preserve"> </w:t>
      </w:r>
      <w:r w:rsidRPr="009C70D3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ям, из них </w:t>
      </w:r>
      <w:r w:rsidR="00950DFF">
        <w:rPr>
          <w:rFonts w:ascii="Times New Roman" w:hAnsi="Times New Roman"/>
          <w:b/>
          <w:sz w:val="24"/>
          <w:szCs w:val="24"/>
        </w:rPr>
        <w:t>4</w:t>
      </w:r>
      <w:r w:rsidRPr="009C70D3">
        <w:rPr>
          <w:rFonts w:ascii="Times New Roman" w:hAnsi="Times New Roman"/>
          <w:sz w:val="24"/>
          <w:szCs w:val="24"/>
        </w:rPr>
        <w:t xml:space="preserve"> организаци</w:t>
      </w:r>
      <w:r w:rsidR="00950DFF">
        <w:rPr>
          <w:rFonts w:ascii="Times New Roman" w:hAnsi="Times New Roman"/>
          <w:sz w:val="24"/>
          <w:szCs w:val="24"/>
        </w:rPr>
        <w:t>и</w:t>
      </w:r>
      <w:r w:rsidRPr="009C70D3">
        <w:rPr>
          <w:rFonts w:ascii="Times New Roman" w:hAnsi="Times New Roman"/>
          <w:sz w:val="24"/>
          <w:szCs w:val="24"/>
        </w:rPr>
        <w:t xml:space="preserve"> были приняты</w:t>
      </w:r>
      <w:r>
        <w:rPr>
          <w:rFonts w:ascii="Times New Roman" w:hAnsi="Times New Roman"/>
          <w:sz w:val="24"/>
          <w:szCs w:val="24"/>
        </w:rPr>
        <w:t xml:space="preserve"> в члены НП «БалтЭнергоЭффект», </w:t>
      </w:r>
      <w:r w:rsidR="00991A11" w:rsidRPr="00991A11">
        <w:rPr>
          <w:rFonts w:ascii="Times New Roman" w:hAnsi="Times New Roman"/>
          <w:b/>
          <w:sz w:val="24"/>
          <w:szCs w:val="24"/>
        </w:rPr>
        <w:t>2</w:t>
      </w:r>
      <w:r w:rsidRPr="009C70D3">
        <w:rPr>
          <w:rFonts w:ascii="Times New Roman" w:hAnsi="Times New Roman"/>
          <w:sz w:val="24"/>
          <w:szCs w:val="24"/>
        </w:rPr>
        <w:t xml:space="preserve"> организаци</w:t>
      </w:r>
      <w:r w:rsidR="00991A11">
        <w:rPr>
          <w:rFonts w:ascii="Times New Roman" w:hAnsi="Times New Roman"/>
          <w:sz w:val="24"/>
          <w:szCs w:val="24"/>
        </w:rPr>
        <w:t>и</w:t>
      </w:r>
      <w:r w:rsidRPr="009C70D3">
        <w:rPr>
          <w:rFonts w:ascii="Times New Roman" w:hAnsi="Times New Roman"/>
          <w:sz w:val="24"/>
          <w:szCs w:val="24"/>
        </w:rPr>
        <w:t xml:space="preserve"> сменил</w:t>
      </w:r>
      <w:r w:rsidR="00991A11">
        <w:rPr>
          <w:rFonts w:ascii="Times New Roman" w:hAnsi="Times New Roman"/>
          <w:sz w:val="24"/>
          <w:szCs w:val="24"/>
        </w:rPr>
        <w:t>и</w:t>
      </w:r>
      <w:r w:rsidRPr="009C70D3">
        <w:rPr>
          <w:rFonts w:ascii="Times New Roman" w:hAnsi="Times New Roman"/>
          <w:sz w:val="24"/>
          <w:szCs w:val="24"/>
        </w:rPr>
        <w:t xml:space="preserve"> юридический адрес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950DFF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организаций добровольно прекратили членство в Партнерстве, </w:t>
      </w:r>
      <w:r w:rsidR="00950DFF" w:rsidRPr="00950DF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950DF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исключен</w:t>
      </w:r>
      <w:r w:rsidR="00950D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 неуплату членских взносов.</w:t>
      </w:r>
    </w:p>
    <w:p w:rsidR="00EF3833" w:rsidRDefault="00EF3833" w:rsidP="002D6BDE">
      <w:pPr>
        <w:spacing w:after="0" w:line="240" w:lineRule="auto"/>
        <w:ind w:firstLine="567"/>
        <w:jc w:val="both"/>
      </w:pPr>
    </w:p>
    <w:p w:rsidR="002D6BDE" w:rsidRDefault="00B77382" w:rsidP="00B773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30741" cy="3067573"/>
            <wp:effectExtent l="0" t="0" r="0" b="0"/>
            <wp:docPr id="9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6BDE" w:rsidRPr="00D652ED" w:rsidRDefault="002D6BDE" w:rsidP="002D6B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52ED">
        <w:rPr>
          <w:rFonts w:ascii="Times New Roman" w:hAnsi="Times New Roman"/>
          <w:b/>
          <w:sz w:val="24"/>
          <w:szCs w:val="24"/>
        </w:rPr>
        <w:lastRenderedPageBreak/>
        <w:t>Региональный состав членов НП «БалтЭнергоЭффект»</w:t>
      </w: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18C">
        <w:rPr>
          <w:rFonts w:ascii="Times New Roman" w:hAnsi="Times New Roman"/>
          <w:sz w:val="24"/>
          <w:szCs w:val="24"/>
        </w:rPr>
        <w:t xml:space="preserve">В состав Партнерства входят </w:t>
      </w:r>
      <w:r w:rsidR="00EF147F">
        <w:rPr>
          <w:rFonts w:ascii="Times New Roman" w:hAnsi="Times New Roman"/>
          <w:b/>
          <w:sz w:val="24"/>
          <w:szCs w:val="24"/>
        </w:rPr>
        <w:t>75</w:t>
      </w:r>
      <w:r w:rsidRPr="00C6118C">
        <w:rPr>
          <w:rFonts w:ascii="Times New Roman" w:hAnsi="Times New Roman"/>
          <w:sz w:val="24"/>
          <w:szCs w:val="24"/>
        </w:rPr>
        <w:t xml:space="preserve"> компаний - представителей 2</w:t>
      </w:r>
      <w:r w:rsidR="00B91F8E">
        <w:rPr>
          <w:rFonts w:ascii="Times New Roman" w:hAnsi="Times New Roman"/>
          <w:sz w:val="24"/>
          <w:szCs w:val="24"/>
        </w:rPr>
        <w:t>1</w:t>
      </w:r>
      <w:r w:rsidRPr="00C6118C">
        <w:rPr>
          <w:rFonts w:ascii="Times New Roman" w:hAnsi="Times New Roman"/>
          <w:sz w:val="24"/>
          <w:szCs w:val="24"/>
        </w:rPr>
        <w:t xml:space="preserve"> субъектов Российской Федерации и </w:t>
      </w:r>
      <w:r>
        <w:rPr>
          <w:rFonts w:ascii="Times New Roman" w:hAnsi="Times New Roman"/>
          <w:sz w:val="24"/>
          <w:szCs w:val="24"/>
        </w:rPr>
        <w:t>1</w:t>
      </w:r>
      <w:r w:rsidRPr="00C6118C">
        <w:rPr>
          <w:rFonts w:ascii="Times New Roman" w:hAnsi="Times New Roman"/>
          <w:sz w:val="24"/>
          <w:szCs w:val="24"/>
        </w:rPr>
        <w:t xml:space="preserve"> организаци</w:t>
      </w:r>
      <w:r w:rsidR="00CC1275">
        <w:rPr>
          <w:rFonts w:ascii="Times New Roman" w:hAnsi="Times New Roman"/>
          <w:sz w:val="24"/>
          <w:szCs w:val="24"/>
        </w:rPr>
        <w:t>я</w:t>
      </w:r>
      <w:r w:rsidRPr="00C6118C">
        <w:rPr>
          <w:rFonts w:ascii="Times New Roman" w:hAnsi="Times New Roman"/>
          <w:sz w:val="24"/>
          <w:szCs w:val="24"/>
        </w:rPr>
        <w:t xml:space="preserve"> из Белоруссии. Наибольшее представительство имеют организации из Санкт-Петербурга (</w:t>
      </w:r>
      <w:r w:rsidR="00B91F8E">
        <w:rPr>
          <w:rFonts w:ascii="Times New Roman" w:hAnsi="Times New Roman"/>
          <w:sz w:val="24"/>
          <w:szCs w:val="24"/>
        </w:rPr>
        <w:t xml:space="preserve">29 </w:t>
      </w:r>
      <w:r>
        <w:rPr>
          <w:rFonts w:ascii="Times New Roman" w:hAnsi="Times New Roman"/>
          <w:sz w:val="24"/>
          <w:szCs w:val="24"/>
        </w:rPr>
        <w:t>организаци</w:t>
      </w:r>
      <w:r w:rsidR="00B91F8E">
        <w:rPr>
          <w:rFonts w:ascii="Times New Roman" w:hAnsi="Times New Roman"/>
          <w:sz w:val="24"/>
          <w:szCs w:val="24"/>
        </w:rPr>
        <w:t>й</w:t>
      </w:r>
      <w:r w:rsidRPr="00C6118C">
        <w:rPr>
          <w:rFonts w:ascii="Times New Roman" w:hAnsi="Times New Roman"/>
          <w:sz w:val="24"/>
          <w:szCs w:val="24"/>
        </w:rPr>
        <w:t>), Ростовской области (</w:t>
      </w:r>
      <w:r w:rsidR="00B91F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 w:rsidRPr="00C6118C">
        <w:rPr>
          <w:rFonts w:ascii="Times New Roman" w:hAnsi="Times New Roman"/>
          <w:sz w:val="24"/>
          <w:szCs w:val="24"/>
        </w:rPr>
        <w:t xml:space="preserve">), </w:t>
      </w:r>
      <w:r w:rsidR="00B91F8E">
        <w:rPr>
          <w:rFonts w:ascii="Times New Roman" w:hAnsi="Times New Roman"/>
          <w:sz w:val="24"/>
          <w:szCs w:val="24"/>
        </w:rPr>
        <w:t xml:space="preserve">Псковской области (5 организаций), </w:t>
      </w:r>
      <w:r w:rsidR="00B91F8E" w:rsidRPr="00C6118C">
        <w:rPr>
          <w:rFonts w:ascii="Times New Roman" w:hAnsi="Times New Roman"/>
          <w:sz w:val="24"/>
          <w:szCs w:val="24"/>
        </w:rPr>
        <w:t>Ставропольского края</w:t>
      </w:r>
      <w:r w:rsidR="00B91F8E">
        <w:rPr>
          <w:rFonts w:ascii="Times New Roman" w:hAnsi="Times New Roman"/>
          <w:sz w:val="24"/>
          <w:szCs w:val="24"/>
        </w:rPr>
        <w:t>,</w:t>
      </w:r>
      <w:r w:rsidR="00B91F8E" w:rsidRPr="00C6118C">
        <w:rPr>
          <w:rFonts w:ascii="Times New Roman" w:hAnsi="Times New Roman"/>
          <w:sz w:val="24"/>
          <w:szCs w:val="24"/>
        </w:rPr>
        <w:t xml:space="preserve"> Ленинградской</w:t>
      </w:r>
      <w:r w:rsidR="00B91F8E">
        <w:rPr>
          <w:rFonts w:ascii="Times New Roman" w:hAnsi="Times New Roman"/>
          <w:sz w:val="24"/>
          <w:szCs w:val="24"/>
        </w:rPr>
        <w:t xml:space="preserve"> и </w:t>
      </w:r>
      <w:r w:rsidR="00B91F8E" w:rsidRPr="00C6118C">
        <w:rPr>
          <w:rFonts w:ascii="Times New Roman" w:hAnsi="Times New Roman"/>
          <w:sz w:val="24"/>
          <w:szCs w:val="24"/>
        </w:rPr>
        <w:t xml:space="preserve">Калининградской области </w:t>
      </w:r>
      <w:r w:rsidRPr="00C6118C">
        <w:rPr>
          <w:rFonts w:ascii="Times New Roman" w:hAnsi="Times New Roman"/>
          <w:sz w:val="24"/>
          <w:szCs w:val="24"/>
        </w:rPr>
        <w:t>(</w:t>
      </w:r>
      <w:r w:rsidR="00B91F8E">
        <w:rPr>
          <w:rFonts w:ascii="Times New Roman" w:hAnsi="Times New Roman"/>
          <w:sz w:val="24"/>
          <w:szCs w:val="24"/>
        </w:rPr>
        <w:t>по 4 организации</w:t>
      </w:r>
      <w:r w:rsidRPr="00C611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 других регионах организации.</w:t>
      </w: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6BDE" w:rsidRDefault="002D6BDE" w:rsidP="002D6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758084"/>
            <wp:effectExtent l="0" t="0" r="19050" b="1397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3833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C1A">
        <w:rPr>
          <w:rFonts w:ascii="Times New Roman" w:hAnsi="Times New Roman"/>
          <w:sz w:val="24"/>
          <w:szCs w:val="24"/>
        </w:rPr>
        <w:t>В 201</w:t>
      </w:r>
      <w:r w:rsidR="008875B2">
        <w:rPr>
          <w:rFonts w:ascii="Times New Roman" w:hAnsi="Times New Roman"/>
          <w:sz w:val="24"/>
          <w:szCs w:val="24"/>
        </w:rPr>
        <w:t>4</w:t>
      </w:r>
      <w:r w:rsidRPr="00610C1A">
        <w:rPr>
          <w:rFonts w:ascii="Times New Roman" w:hAnsi="Times New Roman"/>
          <w:sz w:val="24"/>
          <w:szCs w:val="24"/>
        </w:rPr>
        <w:t xml:space="preserve"> году членам Партнерства выдано </w:t>
      </w:r>
      <w:r w:rsidR="008875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10C1A">
        <w:rPr>
          <w:rFonts w:ascii="Times New Roman" w:hAnsi="Times New Roman"/>
          <w:sz w:val="24"/>
          <w:szCs w:val="24"/>
        </w:rPr>
        <w:t>видетельств</w:t>
      </w:r>
      <w:r w:rsidR="008875B2">
        <w:rPr>
          <w:rFonts w:ascii="Times New Roman" w:hAnsi="Times New Roman"/>
          <w:sz w:val="24"/>
          <w:szCs w:val="24"/>
        </w:rPr>
        <w:t>а</w:t>
      </w:r>
      <w:r w:rsidRPr="00610C1A">
        <w:rPr>
          <w:rFonts w:ascii="Times New Roman" w:hAnsi="Times New Roman"/>
          <w:sz w:val="24"/>
          <w:szCs w:val="24"/>
        </w:rPr>
        <w:t xml:space="preserve"> о членстве в СРО.</w:t>
      </w:r>
    </w:p>
    <w:p w:rsidR="002D6BDE" w:rsidRDefault="00EF3833" w:rsidP="00EF383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2D6BDE">
        <w:rPr>
          <w:rFonts w:ascii="Times New Roman" w:hAnsi="Times New Roman"/>
          <w:b/>
          <w:sz w:val="24"/>
          <w:szCs w:val="24"/>
        </w:rPr>
        <w:lastRenderedPageBreak/>
        <w:t>Бухгалтерия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задачи бухгалтерии входит учет поступающих доходов, в том числе членских и вступительных взносов, финансирование и учет финансирования расходной части в соответствии с утвержденной сметой, организация и ведение бухгалтерского и налогового учета в соответствии с требованиями законодательства РФ.</w:t>
      </w:r>
    </w:p>
    <w:p w:rsidR="002D6BDE" w:rsidRDefault="002D6BDE" w:rsidP="002D6BDE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бухгалтерского учета Партнерства являются: </w:t>
      </w:r>
    </w:p>
    <w:p w:rsidR="002D6BDE" w:rsidRDefault="002D6BDE" w:rsidP="002D6BD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формирование полной и достоверной информации о деятельности организац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имущественном положении, используемой внутренними и внешними пользователями бухгалтерской информации;</w:t>
      </w:r>
    </w:p>
    <w:p w:rsidR="002D6BDE" w:rsidRDefault="002D6BDE" w:rsidP="002D6BD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обеспечение информацией, необходимой для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результатов в соответствии с утвержденными нормами, нормативами и сметами;</w:t>
      </w:r>
    </w:p>
    <w:p w:rsidR="002D6BDE" w:rsidRDefault="002D6BDE" w:rsidP="002D6BD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предотвращение отрицательных результатов хозяйственной деятельности и выявление внутрихозяйственных резервов, обеспечение ее финансовой устойчивости.</w:t>
      </w:r>
    </w:p>
    <w:p w:rsidR="002D6BDE" w:rsidRDefault="002D6BDE" w:rsidP="002D6B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ведет бухгалтерский учет активов, обязательств и хозяйственных операций способом двойной записи в соответствии с принятым Рабочим планом счетов бухгалтерского учета.</w:t>
      </w:r>
    </w:p>
    <w:p w:rsidR="002D6BDE" w:rsidRDefault="002D6BDE" w:rsidP="002D6BDE">
      <w:pPr>
        <w:pStyle w:val="a6"/>
        <w:ind w:firstLine="567"/>
        <w:rPr>
          <w:szCs w:val="24"/>
        </w:rPr>
      </w:pPr>
      <w:r>
        <w:rPr>
          <w:szCs w:val="24"/>
        </w:rPr>
        <w:t>Документирование хозяйственных операций и документооборот в Партнерстве осуществляется на основании нормативных документов. Все хозяйственные операции, проводимые партнерством, оформляются оправдательными документами, на основании которых ведется бухгалтерский учет.</w:t>
      </w:r>
    </w:p>
    <w:p w:rsidR="002D6BDE" w:rsidRDefault="002D6BDE" w:rsidP="002D6B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Членские и вступительные взносы являются одними из основных источников формирования имущества и финансовой основы деятельности партнерства, направленной на достижение целей его создания в соответствии с Уставом Партнерства. </w:t>
      </w:r>
    </w:p>
    <w:p w:rsidR="002D6BDE" w:rsidRPr="00B77382" w:rsidRDefault="002D6BDE" w:rsidP="002D6B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652ED" w:rsidRPr="00B77382" w:rsidRDefault="00D652ED" w:rsidP="002D6B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поступления членских и вступительных взносов и задолженности          (за исключением выбывших организаций) по членским и вступительным взносам в 201</w:t>
      </w:r>
      <w:r w:rsidR="00D652ED" w:rsidRPr="00D652E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году (в тыс. руб.)</w:t>
      </w:r>
    </w:p>
    <w:p w:rsidR="002D6BDE" w:rsidRDefault="00D652ED" w:rsidP="002D6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2ED">
        <w:rPr>
          <w:noProof/>
          <w:lang w:eastAsia="ru-RU"/>
        </w:rPr>
        <w:drawing>
          <wp:inline distT="0" distB="0" distL="0" distR="0">
            <wp:extent cx="5677535" cy="2110105"/>
            <wp:effectExtent l="1905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6BDE" w:rsidRDefault="002D6BDE" w:rsidP="002D6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диаграммы видно, что задолженность к концу 201</w:t>
      </w:r>
      <w:r w:rsidR="00D652ED" w:rsidRPr="00D652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постепенно уменьшается, наибольшее поступление членских взносов приходится на начало  года.</w:t>
      </w:r>
    </w:p>
    <w:p w:rsidR="002D6BDE" w:rsidRDefault="002D6BDE" w:rsidP="002D6B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52ED" w:rsidRPr="00B77382" w:rsidRDefault="00D652ED" w:rsidP="00D652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908FD" w:rsidRDefault="009908FD" w:rsidP="00D652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6BDE" w:rsidRDefault="002D6BDE" w:rsidP="00D652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Диаграмма поступления членских и вступительных взносов в 201</w:t>
      </w:r>
      <w:r w:rsidR="00D652ED" w:rsidRPr="00D652E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году и расходов за 201</w:t>
      </w:r>
      <w:r w:rsidR="00D652ED" w:rsidRPr="00D652E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(в тыс. руб.)</w:t>
      </w:r>
    </w:p>
    <w:p w:rsidR="009908FD" w:rsidRDefault="009908FD" w:rsidP="00D652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BDE" w:rsidRDefault="00D652ED" w:rsidP="002D6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2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4351" cy="3101008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52ED" w:rsidRPr="005616F0" w:rsidRDefault="00D652ED" w:rsidP="00D65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16F0">
        <w:rPr>
          <w:rFonts w:ascii="Times New Roman" w:hAnsi="Times New Roman"/>
          <w:sz w:val="24"/>
          <w:szCs w:val="24"/>
        </w:rPr>
        <w:t xml:space="preserve">Организации, получившие рассрочку поквартально,  уплачивают квартальный взносы в январе, апреле, июле и октябре. </w:t>
      </w:r>
    </w:p>
    <w:p w:rsidR="00D652ED" w:rsidRPr="005616F0" w:rsidRDefault="00D652ED" w:rsidP="00D65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2ED" w:rsidRDefault="00D652ED" w:rsidP="00D6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 xml:space="preserve">К расходам Некоммерческого </w:t>
      </w:r>
      <w:r>
        <w:rPr>
          <w:rFonts w:ascii="Times New Roman" w:hAnsi="Times New Roman"/>
          <w:sz w:val="24"/>
          <w:szCs w:val="24"/>
        </w:rPr>
        <w:t>п</w:t>
      </w:r>
      <w:r w:rsidRPr="00FE4AA9">
        <w:rPr>
          <w:rFonts w:ascii="Times New Roman" w:hAnsi="Times New Roman"/>
          <w:sz w:val="24"/>
          <w:szCs w:val="24"/>
        </w:rPr>
        <w:t xml:space="preserve">артнерства относятся: </w:t>
      </w:r>
    </w:p>
    <w:p w:rsidR="00D652ED" w:rsidRPr="00FE4AA9" w:rsidRDefault="00D652ED" w:rsidP="00D6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52ED" w:rsidRPr="00FE4AA9" w:rsidRDefault="00D652ED" w:rsidP="00D652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Расходы на оплату труда</w:t>
      </w:r>
      <w:r>
        <w:rPr>
          <w:rFonts w:ascii="Times New Roman" w:hAnsi="Times New Roman"/>
          <w:sz w:val="24"/>
          <w:szCs w:val="24"/>
        </w:rPr>
        <w:t xml:space="preserve"> – 50,45%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D652ED" w:rsidRPr="00FE4AA9" w:rsidRDefault="00D652ED" w:rsidP="00D652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Аренда</w:t>
      </w:r>
      <w:r>
        <w:rPr>
          <w:rFonts w:ascii="Times New Roman" w:hAnsi="Times New Roman"/>
          <w:sz w:val="24"/>
          <w:szCs w:val="24"/>
        </w:rPr>
        <w:t xml:space="preserve"> – 5,41%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D652ED" w:rsidRPr="00FE4AA9" w:rsidRDefault="00D652ED" w:rsidP="00D652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Взносы в национальные объединения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 – 4,27%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D652ED" w:rsidRDefault="00D652ED" w:rsidP="00D652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Расходы на служебные командировки</w:t>
      </w:r>
      <w:r>
        <w:rPr>
          <w:rFonts w:ascii="Times New Roman" w:hAnsi="Times New Roman"/>
          <w:sz w:val="24"/>
          <w:szCs w:val="24"/>
        </w:rPr>
        <w:t xml:space="preserve"> – 1,24%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D652ED" w:rsidRPr="00FE4AA9" w:rsidRDefault="00D652ED" w:rsidP="00D652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капитальные вложения – 0,12%;</w:t>
      </w:r>
    </w:p>
    <w:p w:rsidR="00D652ED" w:rsidRPr="00FE4AA9" w:rsidRDefault="00D652ED" w:rsidP="00D652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Расходы на приобретение материалов, оказания услуг, и выполнение работ</w:t>
      </w:r>
      <w:r>
        <w:rPr>
          <w:rFonts w:ascii="Times New Roman" w:hAnsi="Times New Roman"/>
          <w:sz w:val="24"/>
          <w:szCs w:val="24"/>
        </w:rPr>
        <w:t xml:space="preserve"> – 13,63%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D652ED" w:rsidRDefault="00D652ED" w:rsidP="00D652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Отчисления и налоги</w:t>
      </w:r>
      <w:r>
        <w:rPr>
          <w:rFonts w:ascii="Times New Roman" w:hAnsi="Times New Roman"/>
          <w:sz w:val="24"/>
          <w:szCs w:val="24"/>
        </w:rPr>
        <w:t xml:space="preserve"> – 24,88%</w:t>
      </w:r>
      <w:r w:rsidRPr="00FE4AA9">
        <w:rPr>
          <w:rFonts w:ascii="Times New Roman" w:hAnsi="Times New Roman"/>
          <w:sz w:val="24"/>
          <w:szCs w:val="24"/>
        </w:rPr>
        <w:t>.</w:t>
      </w:r>
    </w:p>
    <w:p w:rsidR="002D6BDE" w:rsidRDefault="002D6BDE" w:rsidP="002D6B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46519" w:rsidRDefault="00846519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D6BDE" w:rsidRDefault="00EF3833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2D6BDE">
        <w:rPr>
          <w:rFonts w:ascii="Times New Roman" w:hAnsi="Times New Roman"/>
          <w:b/>
          <w:sz w:val="24"/>
          <w:szCs w:val="24"/>
        </w:rPr>
        <w:lastRenderedPageBreak/>
        <w:t>Диаграмма статей расходов</w:t>
      </w:r>
      <w:proofErr w:type="gramStart"/>
      <w:r w:rsidR="00D652ED" w:rsidRPr="00DF29E6">
        <w:rPr>
          <w:rFonts w:ascii="Times New Roman" w:hAnsi="Times New Roman"/>
          <w:b/>
          <w:sz w:val="24"/>
          <w:szCs w:val="24"/>
        </w:rPr>
        <w:t xml:space="preserve"> </w:t>
      </w:r>
      <w:r w:rsidR="00D652ED">
        <w:rPr>
          <w:rFonts w:ascii="Times New Roman" w:hAnsi="Times New Roman"/>
          <w:b/>
          <w:sz w:val="24"/>
          <w:szCs w:val="24"/>
        </w:rPr>
        <w:t>(%)</w:t>
      </w:r>
      <w:r w:rsidR="002D6BDE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2D6BDE">
        <w:rPr>
          <w:rFonts w:ascii="Times New Roman" w:hAnsi="Times New Roman"/>
          <w:b/>
          <w:sz w:val="24"/>
          <w:szCs w:val="24"/>
        </w:rPr>
        <w:t>за 201</w:t>
      </w:r>
      <w:r w:rsidR="00D652ED" w:rsidRPr="00D652ED">
        <w:rPr>
          <w:rFonts w:ascii="Times New Roman" w:hAnsi="Times New Roman"/>
          <w:b/>
          <w:sz w:val="24"/>
          <w:szCs w:val="24"/>
        </w:rPr>
        <w:t>4</w:t>
      </w:r>
      <w:r w:rsidR="002D6BD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D6BDE" w:rsidRDefault="002D6BDE" w:rsidP="002D6BD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D6BDE" w:rsidRDefault="00D652ED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52ED">
        <w:rPr>
          <w:noProof/>
          <w:lang w:eastAsia="ru-RU"/>
        </w:rPr>
        <w:drawing>
          <wp:inline distT="0" distB="0" distL="0" distR="0">
            <wp:extent cx="4759684" cy="5017273"/>
            <wp:effectExtent l="19050" t="0" r="2816" b="0"/>
            <wp:docPr id="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6BDE" w:rsidRDefault="002D6BDE" w:rsidP="002D6B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BDE" w:rsidRDefault="002D6BDE" w:rsidP="002D6B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BDE" w:rsidRDefault="002D6BDE" w:rsidP="002D6B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Компенсационный фонд НП «БалтЭнергоЭффект» формируется из средств участников Некоммерческого партнерства и служит для покрытия убытков, причиненных любым участником СРО в результате своей профессиональной деятельности. Компенсационный фонд является резервным фондом в случаях, если суммы страховых выплат оказывается не достаточно для покрытия официально признанной суммы возмещения.</w:t>
      </w:r>
    </w:p>
    <w:p w:rsidR="002D6BDE" w:rsidRDefault="002D6BDE" w:rsidP="002D6B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Компенсационный фонд Партнерства формируется за счет взносов членов Партнерства.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каждого члена, установленного решением Совета Партнерства. </w:t>
      </w:r>
    </w:p>
    <w:p w:rsidR="002D6BDE" w:rsidRDefault="002D6BDE" w:rsidP="002D6B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компенсационного фонда осуществляется в соответствии с «Инвестиционной декларацией компенсационного фонда» утвержденной решением совета Некоммерческого партнерства «БалтЭнергоЭффект». Инвестиционная декларация устанавливает требования к составу и структуре средств компенсационного фонда организации, размещаемых в целях их сохранения и прироста через управляющие компании. Размещение средств компенсационного фонда осуществляются через управляющие компании на основании договора доверительного управления средствами компенсационного фонда.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управляющими компаниями ограничений по размещению и инвестированию средств компенсационного фонда, правил </w:t>
      </w:r>
      <w:r>
        <w:rPr>
          <w:rFonts w:ascii="Times New Roman" w:hAnsi="Times New Roman"/>
          <w:sz w:val="24"/>
          <w:szCs w:val="24"/>
        </w:rPr>
        <w:lastRenderedPageBreak/>
        <w:t>размещения таких средств и требований к инвестированию, а также за инвестированием средств компенсационного фонда, которые установлены федеральным законодательством и принятой Советом Партнерства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 Обо всех случаях нарушения требований, установленных законодательством и принятой Партнерством инвестиционной декларацией, к размещению средств компенсационного фонда специализированный депозитарий уведомляет Совет Партнерства. Партнерство заключает договор об оказании услуг специализированного депозитария только со специализированными депозитариями, отобранными по результатам конкурса, проведенного в порядке и в соответствии с правилами, установленными локальными актами Партнерства.</w:t>
      </w:r>
    </w:p>
    <w:p w:rsidR="00D652ED" w:rsidRDefault="00D652ED" w:rsidP="00D652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01.01.2014 фактический размер компенсационного фонда составил 2 000 тысяч рублей, а на </w:t>
      </w:r>
      <w:r w:rsidRPr="00AB7340">
        <w:rPr>
          <w:rFonts w:ascii="Times New Roman" w:hAnsi="Times New Roman"/>
          <w:sz w:val="24"/>
          <w:szCs w:val="24"/>
        </w:rPr>
        <w:t>30.09.201</w:t>
      </w:r>
      <w:r>
        <w:rPr>
          <w:rFonts w:ascii="Times New Roman" w:hAnsi="Times New Roman"/>
          <w:sz w:val="24"/>
          <w:szCs w:val="24"/>
        </w:rPr>
        <w:t>4</w:t>
      </w:r>
      <w:r w:rsidRPr="00AB734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AB7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050 тысяч рублей.</w:t>
      </w:r>
      <w:r w:rsidRPr="00B20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 компенсационного фонда за 9 месяцев 2014 года составил 2,4%.</w:t>
      </w:r>
      <w:r w:rsidRPr="009B07A3">
        <w:rPr>
          <w:rFonts w:ascii="Times New Roman" w:hAnsi="Times New Roman"/>
          <w:sz w:val="24"/>
          <w:szCs w:val="24"/>
        </w:rPr>
        <w:t xml:space="preserve"> </w:t>
      </w:r>
      <w:r w:rsidRPr="00970284">
        <w:rPr>
          <w:rFonts w:ascii="Times New Roman" w:hAnsi="Times New Roman"/>
          <w:sz w:val="24"/>
          <w:szCs w:val="24"/>
        </w:rPr>
        <w:t>Выплаты из компенсационного фонда за указанный период не производились.</w:t>
      </w:r>
    </w:p>
    <w:p w:rsidR="002D6BDE" w:rsidRDefault="002D6BDE" w:rsidP="002D6B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6BDE" w:rsidRDefault="00D652ED" w:rsidP="00D652E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52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6BDE" w:rsidRDefault="00EF3833" w:rsidP="00EF38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2D6BDE">
        <w:rPr>
          <w:rFonts w:ascii="Times New Roman" w:hAnsi="Times New Roman"/>
          <w:b/>
          <w:sz w:val="24"/>
          <w:szCs w:val="24"/>
        </w:rPr>
        <w:lastRenderedPageBreak/>
        <w:t>Общий отдел</w:t>
      </w:r>
    </w:p>
    <w:p w:rsidR="002D6BDE" w:rsidRDefault="002D6BDE" w:rsidP="002D6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BDE" w:rsidRPr="0055164F" w:rsidRDefault="002D6BDE" w:rsidP="002D6B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164F">
        <w:rPr>
          <w:rFonts w:ascii="Times New Roman" w:hAnsi="Times New Roman"/>
          <w:sz w:val="24"/>
          <w:szCs w:val="24"/>
        </w:rPr>
        <w:t>В 201</w:t>
      </w:r>
      <w:r w:rsidR="00D652ED">
        <w:rPr>
          <w:rFonts w:ascii="Times New Roman" w:hAnsi="Times New Roman"/>
          <w:sz w:val="24"/>
          <w:szCs w:val="24"/>
        </w:rPr>
        <w:t>4</w:t>
      </w:r>
      <w:r w:rsidRPr="0055164F">
        <w:rPr>
          <w:rFonts w:ascii="Times New Roman" w:hAnsi="Times New Roman"/>
          <w:sz w:val="24"/>
          <w:szCs w:val="24"/>
        </w:rPr>
        <w:t xml:space="preserve"> году Отделом решались следующие задачи:</w:t>
      </w:r>
    </w:p>
    <w:p w:rsidR="002D6BDE" w:rsidRPr="0055164F" w:rsidRDefault="002D6BDE" w:rsidP="002D6BDE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64F">
        <w:rPr>
          <w:rFonts w:ascii="Times New Roman" w:hAnsi="Times New Roman"/>
          <w:sz w:val="24"/>
          <w:szCs w:val="24"/>
        </w:rPr>
        <w:t xml:space="preserve"> организация протокольной деятельности в Партнерстве (</w:t>
      </w:r>
      <w:r>
        <w:rPr>
          <w:rFonts w:ascii="Times New Roman" w:hAnsi="Times New Roman"/>
          <w:sz w:val="24"/>
          <w:szCs w:val="24"/>
        </w:rPr>
        <w:t>на 2</w:t>
      </w:r>
      <w:r w:rsidR="00D652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.10.201</w:t>
      </w:r>
      <w:r w:rsidR="00D652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64F">
        <w:rPr>
          <w:rFonts w:ascii="Times New Roman" w:hAnsi="Times New Roman"/>
          <w:sz w:val="24"/>
          <w:szCs w:val="24"/>
        </w:rPr>
        <w:t xml:space="preserve">общее количество оформленных протоколов – </w:t>
      </w:r>
      <w:r w:rsidR="00D652ED">
        <w:rPr>
          <w:rFonts w:ascii="Times New Roman" w:hAnsi="Times New Roman"/>
          <w:sz w:val="24"/>
          <w:szCs w:val="24"/>
        </w:rPr>
        <w:t>16</w:t>
      </w:r>
      <w:r w:rsidRPr="0055164F">
        <w:rPr>
          <w:rFonts w:ascii="Times New Roman" w:hAnsi="Times New Roman"/>
          <w:sz w:val="24"/>
          <w:szCs w:val="24"/>
        </w:rPr>
        <w:t xml:space="preserve">); </w:t>
      </w:r>
    </w:p>
    <w:p w:rsidR="002D6BDE" w:rsidRDefault="002D6BDE" w:rsidP="002D6BDE">
      <w:pPr>
        <w:pStyle w:val="a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ведение кадрового делопроизводства;</w:t>
      </w:r>
    </w:p>
    <w:p w:rsidR="002D6BDE" w:rsidRDefault="002D6BDE" w:rsidP="002D6BDE">
      <w:pPr>
        <w:pStyle w:val="a4"/>
        <w:numPr>
          <w:ilvl w:val="0"/>
          <w:numId w:val="6"/>
        </w:numPr>
        <w:spacing w:after="0" w:line="240" w:lineRule="auto"/>
        <w:ind w:left="294" w:hanging="294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обеспечение административной деятельности Партнерства;</w:t>
      </w:r>
    </w:p>
    <w:p w:rsidR="002D6BDE" w:rsidRPr="00AC1ED6" w:rsidRDefault="002D6BDE" w:rsidP="002D6BDE">
      <w:pPr>
        <w:pStyle w:val="a4"/>
        <w:numPr>
          <w:ilvl w:val="0"/>
          <w:numId w:val="6"/>
        </w:numPr>
        <w:spacing w:after="0" w:line="240" w:lineRule="auto"/>
        <w:ind w:left="294" w:hanging="294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C1ED6">
        <w:rPr>
          <w:rFonts w:ascii="Times New Roman" w:hAnsi="Times New Roman"/>
          <w:sz w:val="24"/>
          <w:szCs w:val="24"/>
        </w:rPr>
        <w:t xml:space="preserve"> осуществление </w:t>
      </w:r>
      <w:proofErr w:type="gramStart"/>
      <w:r w:rsidRPr="00AC1E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C1ED6">
        <w:rPr>
          <w:rFonts w:ascii="Times New Roman" w:hAnsi="Times New Roman"/>
          <w:sz w:val="24"/>
          <w:szCs w:val="24"/>
        </w:rPr>
        <w:t xml:space="preserve"> соблюдением правил внутреннего трудового распорядка, а также правил и норм охраны труда.</w:t>
      </w:r>
    </w:p>
    <w:p w:rsidR="002D6BDE" w:rsidRDefault="002D6BDE" w:rsidP="002D6BD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D6BDE" w:rsidRDefault="0023130F" w:rsidP="002D6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30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6" type="#_x0000_t32" style="position:absolute;left:0;text-align:left;margin-left:45.8pt;margin-top:180.6pt;width:378.8pt;height:.6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"/>
        </w:pict>
      </w:r>
      <w:r w:rsidR="00D652ED" w:rsidRPr="00D652ED">
        <w:rPr>
          <w:noProof/>
          <w:lang w:eastAsia="ru-RU"/>
        </w:rPr>
        <w:drawing>
          <wp:inline distT="0" distB="0" distL="0" distR="0">
            <wp:extent cx="5596890" cy="2301240"/>
            <wp:effectExtent l="0" t="0" r="22860" b="2286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6BDE" w:rsidRDefault="002D6BDE" w:rsidP="002D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BDE" w:rsidRDefault="002D6BDE" w:rsidP="002D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обеспечения мероприятий по контролю</w:t>
      </w:r>
    </w:p>
    <w:p w:rsidR="002D6BDE" w:rsidRDefault="002D6BDE" w:rsidP="002D6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4CD" w:rsidRDefault="002D6BDE" w:rsidP="00B67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0EF8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E20E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0EF8">
        <w:rPr>
          <w:rFonts w:ascii="Times New Roman" w:hAnsi="Times New Roman"/>
          <w:sz w:val="24"/>
          <w:szCs w:val="24"/>
        </w:rPr>
        <w:t xml:space="preserve"> соблюдением требований к оформлени</w:t>
      </w:r>
      <w:r>
        <w:rPr>
          <w:rFonts w:ascii="Times New Roman" w:hAnsi="Times New Roman"/>
          <w:sz w:val="24"/>
          <w:szCs w:val="24"/>
        </w:rPr>
        <w:t>ю</w:t>
      </w:r>
      <w:r w:rsidRPr="00E20EF8">
        <w:rPr>
          <w:rFonts w:ascii="Times New Roman" w:hAnsi="Times New Roman"/>
          <w:sz w:val="24"/>
          <w:szCs w:val="24"/>
        </w:rPr>
        <w:t xml:space="preserve"> энергетического паспорта должен осуществлять контроль деятельности членов НП «БалтЭнергоЭффект» в части соблюдения ими требований, установленных правилами и стандартами Партнерства.</w:t>
      </w:r>
    </w:p>
    <w:p w:rsidR="002D6BDE" w:rsidRPr="005C553F" w:rsidRDefault="002D6BDE" w:rsidP="00B67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53F">
        <w:rPr>
          <w:rFonts w:ascii="Times New Roman" w:hAnsi="Times New Roman"/>
          <w:sz w:val="24"/>
          <w:szCs w:val="24"/>
        </w:rPr>
        <w:t>Кроме того, в 201</w:t>
      </w:r>
      <w:r w:rsidR="001D0E7D">
        <w:rPr>
          <w:rFonts w:ascii="Times New Roman" w:hAnsi="Times New Roman"/>
          <w:sz w:val="24"/>
          <w:szCs w:val="24"/>
        </w:rPr>
        <w:t>4</w:t>
      </w:r>
      <w:r w:rsidRPr="005C553F">
        <w:rPr>
          <w:rFonts w:ascii="Times New Roman" w:hAnsi="Times New Roman"/>
          <w:sz w:val="24"/>
          <w:szCs w:val="24"/>
        </w:rPr>
        <w:t xml:space="preserve"> году НП «БалтЭнергоЭффект» выполнило следующий объем работ:</w:t>
      </w:r>
    </w:p>
    <w:p w:rsidR="002D6BDE" w:rsidRDefault="002D6BDE" w:rsidP="002D6BDE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53BE5">
        <w:rPr>
          <w:rFonts w:ascii="Times New Roman" w:hAnsi="Times New Roman"/>
          <w:sz w:val="24"/>
          <w:szCs w:val="24"/>
        </w:rPr>
        <w:t>осуществлена регистрация и</w:t>
      </w:r>
      <w:r>
        <w:rPr>
          <w:rFonts w:ascii="Times New Roman" w:hAnsi="Times New Roman"/>
          <w:sz w:val="24"/>
          <w:szCs w:val="24"/>
        </w:rPr>
        <w:t xml:space="preserve"> проверка договоров страхования</w:t>
      </w:r>
      <w:r w:rsidRPr="005E7438">
        <w:rPr>
          <w:rFonts w:ascii="Times New Roman" w:hAnsi="Times New Roman"/>
          <w:sz w:val="24"/>
          <w:szCs w:val="24"/>
        </w:rPr>
        <w:t xml:space="preserve"> </w:t>
      </w:r>
      <w:r w:rsidRPr="00CA205D">
        <w:rPr>
          <w:rFonts w:ascii="Times New Roman" w:hAnsi="Times New Roman"/>
          <w:bCs/>
          <w:color w:val="000000"/>
          <w:sz w:val="24"/>
          <w:szCs w:val="24"/>
        </w:rPr>
        <w:t xml:space="preserve">членами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CA205D">
        <w:rPr>
          <w:rFonts w:ascii="Times New Roman" w:hAnsi="Times New Roman"/>
          <w:bCs/>
          <w:color w:val="000000"/>
          <w:sz w:val="24"/>
          <w:szCs w:val="24"/>
        </w:rPr>
        <w:t>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«БалтЭнергоЭффект» гражданской ответственности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205D">
        <w:rPr>
          <w:rFonts w:ascii="Times New Roman" w:hAnsi="Times New Roman"/>
          <w:bCs/>
          <w:color w:val="000000"/>
          <w:sz w:val="24"/>
          <w:szCs w:val="24"/>
        </w:rPr>
        <w:t>в случае причинения вреда вследствие недостатков оказанных услуг по энергетическому обследованию</w:t>
      </w:r>
      <w:proofErr w:type="gramStart"/>
      <w:r w:rsidR="001935F1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55630" w:rsidRDefault="002D6BDE" w:rsidP="000556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осуществлялся</w:t>
      </w:r>
      <w:r w:rsidRPr="00C93145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ь за соблюдением членами НП </w:t>
      </w:r>
      <w:r w:rsidR="00B674CD" w:rsidRPr="005C553F">
        <w:rPr>
          <w:rFonts w:ascii="Times New Roman" w:hAnsi="Times New Roman"/>
          <w:sz w:val="24"/>
          <w:szCs w:val="24"/>
        </w:rPr>
        <w:t>«БалтЭнергоЭффект»</w:t>
      </w:r>
      <w:r w:rsidRPr="00C93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CA20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страхованию членами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A205D">
        <w:rPr>
          <w:rFonts w:ascii="Times New Roman" w:hAnsi="Times New Roman" w:cs="Times New Roman"/>
          <w:bCs/>
          <w:color w:val="000000"/>
          <w:sz w:val="24"/>
          <w:szCs w:val="24"/>
        </w:rPr>
        <w:t>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«БалтЭнергоЭффект» гражданской ответственности в случае причинения вреда вследствие недостатков оказанных услуг по энергетическому обследованию</w:t>
      </w:r>
      <w:r>
        <w:rPr>
          <w:rFonts w:ascii="Times New Roman" w:hAnsi="Times New Roman"/>
          <w:sz w:val="24"/>
          <w:szCs w:val="24"/>
        </w:rPr>
        <w:t xml:space="preserve">; было направлено </w:t>
      </w:r>
      <w:r w:rsidR="00B674CD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уведомлений о необходимости </w:t>
      </w:r>
      <w:r w:rsidRPr="005D0086">
        <w:rPr>
          <w:rFonts w:ascii="Times New Roman" w:hAnsi="Times New Roman" w:cs="Times New Roman"/>
          <w:color w:val="000000"/>
          <w:sz w:val="24"/>
          <w:szCs w:val="24"/>
        </w:rPr>
        <w:t>осуществлять непрерывное страхование гражданской ответственности до прекращения членства в саморегулируемой организации, посредством заключения новы</w:t>
      </w:r>
      <w:r w:rsidR="00055630">
        <w:rPr>
          <w:rFonts w:ascii="Times New Roman" w:hAnsi="Times New Roman" w:cs="Times New Roman"/>
          <w:color w:val="000000"/>
          <w:sz w:val="24"/>
          <w:szCs w:val="24"/>
        </w:rPr>
        <w:t>х договоров страхования;</w:t>
      </w:r>
      <w:proofErr w:type="gramEnd"/>
    </w:p>
    <w:p w:rsidR="002D6BDE" w:rsidRPr="00055630" w:rsidRDefault="002D6BDE" w:rsidP="0005563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FD1653">
        <w:rPr>
          <w:rFonts w:ascii="Times New Roman" w:hAnsi="Times New Roman"/>
          <w:sz w:val="24"/>
          <w:szCs w:val="24"/>
        </w:rPr>
        <w:t>о</w:t>
      </w:r>
      <w:r w:rsidRPr="00153BE5">
        <w:rPr>
          <w:rFonts w:ascii="Times New Roman" w:hAnsi="Times New Roman"/>
          <w:sz w:val="24"/>
          <w:szCs w:val="24"/>
        </w:rPr>
        <w:t>существлены работы по обновлению сведений, составляющих информационный ресурс партнерства:</w:t>
      </w:r>
    </w:p>
    <w:p w:rsidR="002D6BDE" w:rsidRDefault="002D6BDE" w:rsidP="00055630">
      <w:pPr>
        <w:pStyle w:val="a4"/>
        <w:tabs>
          <w:tab w:val="left" w:pos="0"/>
        </w:tabs>
        <w:spacing w:after="10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Pr="00153BE5">
        <w:rPr>
          <w:rFonts w:ascii="Times New Roman" w:hAnsi="Times New Roman"/>
          <w:sz w:val="24"/>
          <w:szCs w:val="24"/>
        </w:rPr>
        <w:t>в</w:t>
      </w:r>
      <w:r w:rsidRPr="00C93145">
        <w:rPr>
          <w:rFonts w:ascii="Times New Roman" w:hAnsi="Times New Roman"/>
          <w:sz w:val="24"/>
          <w:szCs w:val="24"/>
        </w:rPr>
        <w:t>несены  необходимые данные, содержащи</w:t>
      </w:r>
      <w:r>
        <w:rPr>
          <w:rFonts w:ascii="Times New Roman" w:hAnsi="Times New Roman"/>
          <w:sz w:val="24"/>
          <w:szCs w:val="24"/>
        </w:rPr>
        <w:t>е</w:t>
      </w:r>
      <w:r w:rsidRPr="00C93145">
        <w:rPr>
          <w:rFonts w:ascii="Times New Roman" w:hAnsi="Times New Roman"/>
          <w:sz w:val="24"/>
          <w:szCs w:val="24"/>
        </w:rPr>
        <w:t xml:space="preserve">ся в Документах по страхованию членов </w:t>
      </w:r>
      <w:r>
        <w:rPr>
          <w:rFonts w:ascii="Times New Roman" w:hAnsi="Times New Roman"/>
          <w:sz w:val="24"/>
          <w:szCs w:val="24"/>
        </w:rPr>
        <w:t>п</w:t>
      </w:r>
      <w:r w:rsidRPr="00C93145">
        <w:rPr>
          <w:rFonts w:ascii="Times New Roman" w:hAnsi="Times New Roman"/>
          <w:sz w:val="24"/>
          <w:szCs w:val="24"/>
        </w:rPr>
        <w:t xml:space="preserve">артнерства, в Единую базу </w:t>
      </w:r>
      <w:r w:rsidRPr="001E3A1A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.</w:t>
      </w:r>
    </w:p>
    <w:p w:rsidR="002D6BDE" w:rsidRPr="00B674CD" w:rsidRDefault="00055630" w:rsidP="00055630">
      <w:pPr>
        <w:pStyle w:val="a4"/>
        <w:tabs>
          <w:tab w:val="left" w:pos="0"/>
        </w:tabs>
        <w:spacing w:after="100" w:line="240" w:lineRule="auto"/>
        <w:ind w:left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2D6BDE" w:rsidRPr="00B674CD">
        <w:rPr>
          <w:rFonts w:ascii="Times New Roman" w:hAnsi="Times New Roman"/>
          <w:bCs/>
          <w:color w:val="000000"/>
          <w:sz w:val="24"/>
          <w:szCs w:val="24"/>
        </w:rPr>
        <w:t xml:space="preserve">- В данный период осуществляется процедура согласования договора страхования гражданской ответственности с саморегулируемой организацией - </w:t>
      </w:r>
      <w:r w:rsidR="00B674CD" w:rsidRPr="00B674CD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2D6BDE" w:rsidRPr="00B674CD">
        <w:rPr>
          <w:rFonts w:ascii="Times New Roman" w:hAnsi="Times New Roman"/>
          <w:bCs/>
          <w:color w:val="000000"/>
          <w:sz w:val="24"/>
          <w:szCs w:val="24"/>
        </w:rPr>
        <w:t xml:space="preserve"> пакетов документов.</w:t>
      </w:r>
    </w:p>
    <w:p w:rsidR="002D6BDE" w:rsidRDefault="002D6BDE" w:rsidP="00055630">
      <w:pPr>
        <w:pStyle w:val="a4"/>
        <w:tabs>
          <w:tab w:val="left" w:pos="709"/>
        </w:tabs>
        <w:spacing w:after="10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4CD" w:rsidRDefault="00B674CD" w:rsidP="00B674CD">
      <w:pPr>
        <w:pStyle w:val="a4"/>
        <w:tabs>
          <w:tab w:val="left" w:pos="709"/>
        </w:tabs>
        <w:spacing w:after="10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работы</w:t>
      </w:r>
    </w:p>
    <w:p w:rsidR="002D6BDE" w:rsidRDefault="002D6BDE" w:rsidP="00B674CD">
      <w:pPr>
        <w:pStyle w:val="a4"/>
        <w:tabs>
          <w:tab w:val="left" w:pos="709"/>
        </w:tabs>
        <w:spacing w:after="100" w:line="240" w:lineRule="auto"/>
        <w:ind w:left="567" w:hanging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соблюдением членами НП «БалтЭнергоЭффект» </w:t>
      </w:r>
    </w:p>
    <w:p w:rsidR="002D6BDE" w:rsidRDefault="002D6BDE" w:rsidP="00B674CD">
      <w:pPr>
        <w:pStyle w:val="a4"/>
        <w:tabs>
          <w:tab w:val="left" w:pos="0"/>
          <w:tab w:val="left" w:pos="1050"/>
        </w:tabs>
        <w:spacing w:after="0" w:line="240" w:lineRule="auto"/>
        <w:ind w:left="0" w:hanging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Требований к страхованию гражданской ответственности</w:t>
      </w:r>
    </w:p>
    <w:p w:rsidR="002D6BDE" w:rsidRDefault="002D6BDE" w:rsidP="002D6BDE">
      <w:pPr>
        <w:pStyle w:val="a4"/>
        <w:tabs>
          <w:tab w:val="left" w:pos="0"/>
          <w:tab w:val="left" w:pos="105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6BDE" w:rsidRDefault="0023130F" w:rsidP="002D6BDE">
      <w:pPr>
        <w:pStyle w:val="a4"/>
        <w:tabs>
          <w:tab w:val="left" w:pos="0"/>
          <w:tab w:val="left" w:pos="105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1.35pt;margin-top:200.2pt;width:468.3pt;height:1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"/>
        </w:pict>
      </w:r>
      <w:r w:rsidR="002D6BD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028" cy="2554224"/>
            <wp:effectExtent l="19050" t="0" r="23622" b="0"/>
            <wp:docPr id="1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6BDE" w:rsidRDefault="002D6BDE" w:rsidP="002D6BDE">
      <w:pPr>
        <w:pStyle w:val="a4"/>
        <w:tabs>
          <w:tab w:val="left" w:pos="0"/>
          <w:tab w:val="left" w:pos="105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03505" w:rsidRDefault="00303505"/>
    <w:sectPr w:rsidR="00303505" w:rsidSect="00420D25">
      <w:footerReference w:type="default" r:id="rId20"/>
      <w:footerReference w:type="first" r:id="rId21"/>
      <w:pgSz w:w="11906" w:h="16838"/>
      <w:pgMar w:top="1134" w:right="850" w:bottom="993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E9" w:rsidRDefault="00763CE9">
      <w:pPr>
        <w:spacing w:after="0" w:line="240" w:lineRule="auto"/>
      </w:pPr>
      <w:r>
        <w:separator/>
      </w:r>
    </w:p>
  </w:endnote>
  <w:endnote w:type="continuationSeparator" w:id="0">
    <w:p w:rsidR="00763CE9" w:rsidRDefault="0076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901993"/>
      <w:docPartObj>
        <w:docPartGallery w:val="Page Numbers (Bottom of Page)"/>
        <w:docPartUnique/>
      </w:docPartObj>
    </w:sdtPr>
    <w:sdtContent>
      <w:p w:rsidR="00625D25" w:rsidRDefault="0023130F">
        <w:pPr>
          <w:pStyle w:val="a8"/>
          <w:jc w:val="right"/>
        </w:pPr>
        <w:r>
          <w:fldChar w:fldCharType="begin"/>
        </w:r>
        <w:r w:rsidR="00D92087">
          <w:instrText>PAGE   \* MERGEFORMAT</w:instrText>
        </w:r>
        <w:r>
          <w:fldChar w:fldCharType="separate"/>
        </w:r>
        <w:r w:rsidR="00D2649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25D25" w:rsidRDefault="00625D25" w:rsidP="00420D25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15370"/>
      <w:docPartObj>
        <w:docPartGallery w:val="Page Numbers (Bottom of Page)"/>
        <w:docPartUnique/>
      </w:docPartObj>
    </w:sdtPr>
    <w:sdtContent>
      <w:p w:rsidR="00625D25" w:rsidRDefault="0023130F">
        <w:pPr>
          <w:pStyle w:val="a8"/>
          <w:jc w:val="right"/>
        </w:pPr>
        <w:r>
          <w:fldChar w:fldCharType="begin"/>
        </w:r>
        <w:r w:rsidR="00D92087">
          <w:instrText>PAGE   \* MERGEFORMAT</w:instrText>
        </w:r>
        <w:r>
          <w:fldChar w:fldCharType="separate"/>
        </w:r>
        <w:r w:rsidR="00625D2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25D25" w:rsidRDefault="00625D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E9" w:rsidRDefault="00763CE9">
      <w:pPr>
        <w:spacing w:after="0" w:line="240" w:lineRule="auto"/>
      </w:pPr>
      <w:r>
        <w:separator/>
      </w:r>
    </w:p>
  </w:footnote>
  <w:footnote w:type="continuationSeparator" w:id="0">
    <w:p w:rsidR="00763CE9" w:rsidRDefault="0076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E7"/>
    <w:multiLevelType w:val="hybridMultilevel"/>
    <w:tmpl w:val="68342B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73711"/>
    <w:multiLevelType w:val="hybridMultilevel"/>
    <w:tmpl w:val="6E9CC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D93230"/>
    <w:multiLevelType w:val="hybridMultilevel"/>
    <w:tmpl w:val="F0BE3224"/>
    <w:lvl w:ilvl="0" w:tplc="EE2A4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66787E"/>
    <w:multiLevelType w:val="multilevel"/>
    <w:tmpl w:val="BB44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CCF18A1"/>
    <w:multiLevelType w:val="hybridMultilevel"/>
    <w:tmpl w:val="FC44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89400E"/>
    <w:multiLevelType w:val="hybridMultilevel"/>
    <w:tmpl w:val="1A9E6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26389"/>
    <w:multiLevelType w:val="hybridMultilevel"/>
    <w:tmpl w:val="9514B3B0"/>
    <w:lvl w:ilvl="0" w:tplc="F454E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842E99"/>
    <w:multiLevelType w:val="hybridMultilevel"/>
    <w:tmpl w:val="66C2BF12"/>
    <w:lvl w:ilvl="0" w:tplc="B5F85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09E9"/>
    <w:multiLevelType w:val="hybridMultilevel"/>
    <w:tmpl w:val="BE7A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B3547"/>
    <w:multiLevelType w:val="hybridMultilevel"/>
    <w:tmpl w:val="0A62B3F4"/>
    <w:lvl w:ilvl="0" w:tplc="8AB25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371EF0"/>
    <w:multiLevelType w:val="hybridMultilevel"/>
    <w:tmpl w:val="10E44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114304"/>
    <w:multiLevelType w:val="hybridMultilevel"/>
    <w:tmpl w:val="C30C30D2"/>
    <w:lvl w:ilvl="0" w:tplc="675CAEEE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0037BB"/>
    <w:multiLevelType w:val="multilevel"/>
    <w:tmpl w:val="8D347D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C194C"/>
    <w:multiLevelType w:val="hybridMultilevel"/>
    <w:tmpl w:val="037E4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E68F0"/>
    <w:multiLevelType w:val="hybridMultilevel"/>
    <w:tmpl w:val="FD008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BDE"/>
    <w:rsid w:val="000052BD"/>
    <w:rsid w:val="00006103"/>
    <w:rsid w:val="00006845"/>
    <w:rsid w:val="00013700"/>
    <w:rsid w:val="00023DD1"/>
    <w:rsid w:val="00037F59"/>
    <w:rsid w:val="00052396"/>
    <w:rsid w:val="00055630"/>
    <w:rsid w:val="00074DFC"/>
    <w:rsid w:val="0007583A"/>
    <w:rsid w:val="000A529A"/>
    <w:rsid w:val="000A77DA"/>
    <w:rsid w:val="000B29F3"/>
    <w:rsid w:val="000F190F"/>
    <w:rsid w:val="000F6BB5"/>
    <w:rsid w:val="00103185"/>
    <w:rsid w:val="00110CF9"/>
    <w:rsid w:val="0011370D"/>
    <w:rsid w:val="00142C04"/>
    <w:rsid w:val="00162E91"/>
    <w:rsid w:val="0017328F"/>
    <w:rsid w:val="00182AC2"/>
    <w:rsid w:val="001935F1"/>
    <w:rsid w:val="001C4108"/>
    <w:rsid w:val="001D0E7D"/>
    <w:rsid w:val="001F3157"/>
    <w:rsid w:val="001F7E9B"/>
    <w:rsid w:val="00204D5F"/>
    <w:rsid w:val="0021484F"/>
    <w:rsid w:val="00231243"/>
    <w:rsid w:val="0023130F"/>
    <w:rsid w:val="00244E14"/>
    <w:rsid w:val="002770F2"/>
    <w:rsid w:val="00291857"/>
    <w:rsid w:val="002A7BB0"/>
    <w:rsid w:val="002B087C"/>
    <w:rsid w:val="002C5E19"/>
    <w:rsid w:val="002C7BEE"/>
    <w:rsid w:val="002D6BDE"/>
    <w:rsid w:val="002F79CB"/>
    <w:rsid w:val="00303505"/>
    <w:rsid w:val="003108D9"/>
    <w:rsid w:val="00321000"/>
    <w:rsid w:val="00322A65"/>
    <w:rsid w:val="003761AC"/>
    <w:rsid w:val="003A4B52"/>
    <w:rsid w:val="003A6D20"/>
    <w:rsid w:val="003B7723"/>
    <w:rsid w:val="003D138A"/>
    <w:rsid w:val="003F781D"/>
    <w:rsid w:val="004139A5"/>
    <w:rsid w:val="00420D25"/>
    <w:rsid w:val="00443603"/>
    <w:rsid w:val="00466F4A"/>
    <w:rsid w:val="00480878"/>
    <w:rsid w:val="00485B0B"/>
    <w:rsid w:val="004B018C"/>
    <w:rsid w:val="004B589B"/>
    <w:rsid w:val="004C3461"/>
    <w:rsid w:val="004C6057"/>
    <w:rsid w:val="004D7A1A"/>
    <w:rsid w:val="004E23BF"/>
    <w:rsid w:val="004E5907"/>
    <w:rsid w:val="004F1665"/>
    <w:rsid w:val="00524C59"/>
    <w:rsid w:val="0053064E"/>
    <w:rsid w:val="00537665"/>
    <w:rsid w:val="005524D4"/>
    <w:rsid w:val="00565994"/>
    <w:rsid w:val="00573603"/>
    <w:rsid w:val="005774E2"/>
    <w:rsid w:val="00585F88"/>
    <w:rsid w:val="0058601C"/>
    <w:rsid w:val="005C6359"/>
    <w:rsid w:val="005F2A94"/>
    <w:rsid w:val="005F57C0"/>
    <w:rsid w:val="005F5D4A"/>
    <w:rsid w:val="00605B37"/>
    <w:rsid w:val="00625D25"/>
    <w:rsid w:val="00645D23"/>
    <w:rsid w:val="00670417"/>
    <w:rsid w:val="00683DBB"/>
    <w:rsid w:val="00683E5A"/>
    <w:rsid w:val="006A7017"/>
    <w:rsid w:val="006B2E3E"/>
    <w:rsid w:val="006C1385"/>
    <w:rsid w:val="006C29C7"/>
    <w:rsid w:val="006D4B90"/>
    <w:rsid w:val="006D517C"/>
    <w:rsid w:val="006E12CE"/>
    <w:rsid w:val="006F2809"/>
    <w:rsid w:val="00706515"/>
    <w:rsid w:val="00722A31"/>
    <w:rsid w:val="00752FCA"/>
    <w:rsid w:val="00760F0E"/>
    <w:rsid w:val="00762D98"/>
    <w:rsid w:val="00763CE9"/>
    <w:rsid w:val="007673E0"/>
    <w:rsid w:val="00775EC1"/>
    <w:rsid w:val="00781336"/>
    <w:rsid w:val="007A2AB2"/>
    <w:rsid w:val="007B0629"/>
    <w:rsid w:val="007B1C74"/>
    <w:rsid w:val="007D0A8F"/>
    <w:rsid w:val="00802240"/>
    <w:rsid w:val="008030F9"/>
    <w:rsid w:val="00835DA6"/>
    <w:rsid w:val="00842FAF"/>
    <w:rsid w:val="00846519"/>
    <w:rsid w:val="00864201"/>
    <w:rsid w:val="008875B2"/>
    <w:rsid w:val="008A7522"/>
    <w:rsid w:val="008C428D"/>
    <w:rsid w:val="008F5C89"/>
    <w:rsid w:val="00921CF7"/>
    <w:rsid w:val="009305F5"/>
    <w:rsid w:val="00947987"/>
    <w:rsid w:val="00950DFF"/>
    <w:rsid w:val="009729F6"/>
    <w:rsid w:val="0097644B"/>
    <w:rsid w:val="009908FD"/>
    <w:rsid w:val="00991A11"/>
    <w:rsid w:val="009B2FD7"/>
    <w:rsid w:val="009C1756"/>
    <w:rsid w:val="009C376E"/>
    <w:rsid w:val="009C3E0F"/>
    <w:rsid w:val="009C427A"/>
    <w:rsid w:val="009C77B3"/>
    <w:rsid w:val="009F7A7C"/>
    <w:rsid w:val="00A007D7"/>
    <w:rsid w:val="00A60CBB"/>
    <w:rsid w:val="00A82EC4"/>
    <w:rsid w:val="00A86F71"/>
    <w:rsid w:val="00AE0C46"/>
    <w:rsid w:val="00AE6BB5"/>
    <w:rsid w:val="00AF5570"/>
    <w:rsid w:val="00AF59E5"/>
    <w:rsid w:val="00B00959"/>
    <w:rsid w:val="00B31279"/>
    <w:rsid w:val="00B47E3F"/>
    <w:rsid w:val="00B53A78"/>
    <w:rsid w:val="00B56981"/>
    <w:rsid w:val="00B674CD"/>
    <w:rsid w:val="00B73418"/>
    <w:rsid w:val="00B761D8"/>
    <w:rsid w:val="00B77382"/>
    <w:rsid w:val="00B77CA8"/>
    <w:rsid w:val="00B91F8E"/>
    <w:rsid w:val="00BA4933"/>
    <w:rsid w:val="00BA4A7B"/>
    <w:rsid w:val="00BB5BA2"/>
    <w:rsid w:val="00BC11A4"/>
    <w:rsid w:val="00BC19AC"/>
    <w:rsid w:val="00BC6D57"/>
    <w:rsid w:val="00BF0299"/>
    <w:rsid w:val="00BF60E8"/>
    <w:rsid w:val="00C56FD2"/>
    <w:rsid w:val="00C60D59"/>
    <w:rsid w:val="00C81198"/>
    <w:rsid w:val="00C8139A"/>
    <w:rsid w:val="00C9431A"/>
    <w:rsid w:val="00CC1275"/>
    <w:rsid w:val="00CD1364"/>
    <w:rsid w:val="00CD7D67"/>
    <w:rsid w:val="00CE0E21"/>
    <w:rsid w:val="00CF7184"/>
    <w:rsid w:val="00D034D5"/>
    <w:rsid w:val="00D14BC2"/>
    <w:rsid w:val="00D154B7"/>
    <w:rsid w:val="00D15952"/>
    <w:rsid w:val="00D26494"/>
    <w:rsid w:val="00D4277D"/>
    <w:rsid w:val="00D54BB1"/>
    <w:rsid w:val="00D62CCB"/>
    <w:rsid w:val="00D63508"/>
    <w:rsid w:val="00D652ED"/>
    <w:rsid w:val="00D90C71"/>
    <w:rsid w:val="00D92087"/>
    <w:rsid w:val="00D92AE3"/>
    <w:rsid w:val="00D943D0"/>
    <w:rsid w:val="00D948F7"/>
    <w:rsid w:val="00DB2671"/>
    <w:rsid w:val="00DB54FC"/>
    <w:rsid w:val="00DC1322"/>
    <w:rsid w:val="00DD73C2"/>
    <w:rsid w:val="00DF0970"/>
    <w:rsid w:val="00DF29E6"/>
    <w:rsid w:val="00DF547C"/>
    <w:rsid w:val="00E136D6"/>
    <w:rsid w:val="00E366CA"/>
    <w:rsid w:val="00E366F6"/>
    <w:rsid w:val="00E40966"/>
    <w:rsid w:val="00E50A31"/>
    <w:rsid w:val="00E57B70"/>
    <w:rsid w:val="00E65230"/>
    <w:rsid w:val="00E975C6"/>
    <w:rsid w:val="00EA41DF"/>
    <w:rsid w:val="00EA43BB"/>
    <w:rsid w:val="00ED05E0"/>
    <w:rsid w:val="00ED1A11"/>
    <w:rsid w:val="00ED7EF3"/>
    <w:rsid w:val="00EE1667"/>
    <w:rsid w:val="00EF147F"/>
    <w:rsid w:val="00EF25EA"/>
    <w:rsid w:val="00EF3833"/>
    <w:rsid w:val="00F03045"/>
    <w:rsid w:val="00F11C90"/>
    <w:rsid w:val="00F1346E"/>
    <w:rsid w:val="00F27E03"/>
    <w:rsid w:val="00F6003E"/>
    <w:rsid w:val="00F7736B"/>
    <w:rsid w:val="00F90C63"/>
    <w:rsid w:val="00F95368"/>
    <w:rsid w:val="00FA4D53"/>
    <w:rsid w:val="00FB3D8E"/>
    <w:rsid w:val="00FD313D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4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B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6B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2D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BDE"/>
    <w:pPr>
      <w:ind w:left="708"/>
    </w:pPr>
  </w:style>
  <w:style w:type="character" w:styleId="a5">
    <w:name w:val="Strong"/>
    <w:basedOn w:val="a0"/>
    <w:uiPriority w:val="22"/>
    <w:qFormat/>
    <w:rsid w:val="002D6BDE"/>
    <w:rPr>
      <w:b/>
      <w:bCs/>
    </w:rPr>
  </w:style>
  <w:style w:type="paragraph" w:styleId="a6">
    <w:name w:val="Body Text Indent"/>
    <w:basedOn w:val="a"/>
    <w:link w:val="a7"/>
    <w:uiPriority w:val="99"/>
    <w:rsid w:val="002D6B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6B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BD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D6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B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1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D1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99"/>
    <w:semiHidden/>
    <w:qFormat/>
    <w:rsid w:val="00BB5BA2"/>
    <w:pPr>
      <w:ind w:left="708"/>
    </w:pPr>
    <w:rPr>
      <w:rFonts w:eastAsia="Times New Roman"/>
    </w:rPr>
  </w:style>
  <w:style w:type="paragraph" w:customStyle="1" w:styleId="21">
    <w:name w:val="Абзац списка2"/>
    <w:basedOn w:val="a"/>
    <w:uiPriority w:val="99"/>
    <w:qFormat/>
    <w:rsid w:val="00BB5BA2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4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B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6B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2D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6BDE"/>
    <w:pPr>
      <w:ind w:left="708"/>
    </w:pPr>
  </w:style>
  <w:style w:type="character" w:styleId="a5">
    <w:name w:val="Strong"/>
    <w:basedOn w:val="a0"/>
    <w:uiPriority w:val="22"/>
    <w:qFormat/>
    <w:rsid w:val="002D6BDE"/>
    <w:rPr>
      <w:b/>
      <w:bCs/>
    </w:rPr>
  </w:style>
  <w:style w:type="paragraph" w:styleId="a6">
    <w:name w:val="Body Text Indent"/>
    <w:basedOn w:val="a"/>
    <w:link w:val="a7"/>
    <w:uiPriority w:val="99"/>
    <w:rsid w:val="002D6B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6B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BD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D6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B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1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D1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99"/>
    <w:semiHidden/>
    <w:qFormat/>
    <w:rsid w:val="00BB5BA2"/>
    <w:pPr>
      <w:ind w:left="708"/>
    </w:pPr>
    <w:rPr>
      <w:rFonts w:eastAsia="Times New Roman"/>
    </w:rPr>
  </w:style>
  <w:style w:type="paragraph" w:customStyle="1" w:styleId="21">
    <w:name w:val="Абзац списка2"/>
    <w:basedOn w:val="a"/>
    <w:uiPriority w:val="99"/>
    <w:qFormat/>
    <w:rsid w:val="00BB5BA2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318E-2"/>
          <c:y val="4.4126888353671123E-2"/>
          <c:w val="0.5515039005540977"/>
          <c:h val="0.85630548642789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СПб и ЛО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Др. регионы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2">
                  <c:v>12</c:v>
                </c:pt>
              </c:numCache>
            </c:numRef>
          </c:val>
        </c:ser>
        <c:axId val="168626048"/>
        <c:axId val="168627584"/>
      </c:barChart>
      <c:catAx>
        <c:axId val="16862604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627584"/>
        <c:crosses val="autoZero"/>
        <c:auto val="1"/>
        <c:lblAlgn val="ctr"/>
        <c:lblOffset val="100"/>
      </c:catAx>
      <c:valAx>
        <c:axId val="168627584"/>
        <c:scaling>
          <c:orientation val="minMax"/>
        </c:scaling>
        <c:axPos val="l"/>
        <c:majorGridlines/>
        <c:numFmt formatCode="General" sourceLinked="1"/>
        <c:tickLblPos val="nextTo"/>
        <c:crossAx val="1686260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4390164771070513"/>
          <c:y val="0.21350695505004741"/>
          <c:w val="0.3422094634004087"/>
          <c:h val="0.35780089988751645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Протоколы заседаний коллегиального органа</a:t>
            </a:r>
          </a:p>
        </c:rich>
      </c:tx>
    </c:title>
    <c:view3D>
      <c:rotX val="30"/>
      <c:rotY val="152"/>
      <c:perspective val="30"/>
    </c:view3D>
    <c:plotArea>
      <c:layout>
        <c:manualLayout>
          <c:layoutTarget val="inner"/>
          <c:xMode val="edge"/>
          <c:yMode val="edge"/>
          <c:x val="2.1956087824351312E-2"/>
          <c:y val="0.25783745781777284"/>
          <c:w val="0.58578339384223121"/>
          <c:h val="0.6985117485314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Протоколы заседаний коллегиальных органов</c:v>
                </c:pt>
              </c:strCache>
            </c:strRef>
          </c:tx>
          <c:explosion val="14"/>
          <c:dLbls>
            <c:dLbl>
              <c:idx val="0"/>
              <c:tx>
                <c:rich>
                  <a:bodyPr/>
                  <a:lstStyle/>
                  <a:p>
                    <a:pPr>
                      <a:defRPr sz="9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</a:t>
                    </a:r>
                    <a:r>
                      <a:rPr lang="ru-RU" sz="2400">
                        <a:solidFill>
                          <a:schemeClr val="bg1"/>
                        </a:solidFill>
                      </a:rPr>
                      <a:t>15</a:t>
                    </a:r>
                    <a:r>
                      <a:rPr lang="ru-RU" sz="1394"/>
                      <a:t> 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5.2407461802287718E-2"/>
                  <c:y val="-9.6456781882531109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2000">
                        <a:solidFill>
                          <a:schemeClr val="bg1"/>
                        </a:solidFill>
                      </a:rPr>
                      <a:t>1</a:t>
                    </a:r>
                    <a:endParaRPr lang="en-US" sz="200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о приеме новых членов</c:v>
                </c:pt>
                <c:pt idx="1">
                  <c:v>по организационно-правовым вопросам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</c:ser>
      </c:pie3DChart>
      <c:spPr>
        <a:noFill/>
        <a:ln w="2532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176837596025757"/>
          <c:y val="0.3730297578696728"/>
          <c:w val="0.38603546730571892"/>
          <c:h val="0.6259982803873656"/>
        </c:manualLayout>
      </c:layout>
      <c:txPr>
        <a:bodyPr/>
        <a:lstStyle/>
        <a:p>
          <a:pPr>
            <a:defRPr sz="11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16%</a:t>
                    </a:r>
                    <a:endParaRPr lang="en-US"/>
                  </a:p>
                </c:rich>
              </c:tx>
              <c:showVal val="1"/>
              <c:showPercent val="1"/>
            </c:dLbl>
            <c:showVal val="1"/>
            <c:showPercent val="1"/>
          </c:dLbls>
          <c:cat>
            <c:strRef>
              <c:f>Лист1!$B$3:$B$4</c:f>
              <c:strCache>
                <c:ptCount val="2"/>
                <c:pt idx="0">
                  <c:v>Договоры страхования соответствуют Требованиям к страхованию</c:v>
                </c:pt>
                <c:pt idx="1">
                  <c:v>В данный период существляется процедура согласования договора страхования гражданской ответственности с Сморегулируемой организацией 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68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v>2</c:v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</c:plotArea>
    <c:legend>
      <c:legendPos val="r"/>
      <c:layout>
        <c:manualLayout>
          <c:xMode val="edge"/>
          <c:yMode val="edge"/>
          <c:x val="0.64380460993952704"/>
          <c:y val="0.11293743933645108"/>
          <c:w val="0.31814979567960405"/>
          <c:h val="0.80449503416767165"/>
        </c:manualLayout>
      </c:layout>
      <c:txPr>
        <a:bodyPr/>
        <a:lstStyle/>
        <a:p>
          <a:pPr>
            <a:defRPr sz="900" baseline="0"/>
          </a:pPr>
          <a:endParaRPr lang="ru-RU"/>
        </a:p>
      </c:txPr>
    </c:legend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Территориальные управления</a:t>
            </a:r>
            <a:endParaRPr lang="en-US" sz="1800" b="1" i="0" baseline="0"/>
          </a:p>
          <a:p>
            <a:pPr>
              <a:defRPr/>
            </a:pPr>
            <a:r>
              <a:rPr lang="ru-RU" sz="1800" b="1" i="0" baseline="0"/>
              <a:t>НП «БалтЭнергоЭффект» в 2014 году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Территориальные управления НП "БалтЭнергоЭффект" в 2010 году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444430290658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Калининградская область</c:v>
                </c:pt>
                <c:pt idx="1">
                  <c:v>Иркутская область</c:v>
                </c:pt>
                <c:pt idx="2">
                  <c:v>По Югу России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23</c:v>
                </c:pt>
              </c:numCache>
            </c:numRef>
          </c:val>
        </c:ser>
        <c:axId val="172352640"/>
        <c:axId val="172354944"/>
      </c:barChart>
      <c:catAx>
        <c:axId val="172352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354944"/>
        <c:crosses val="autoZero"/>
        <c:auto val="1"/>
        <c:lblAlgn val="ctr"/>
        <c:lblOffset val="100"/>
      </c:catAx>
      <c:valAx>
        <c:axId val="172354944"/>
        <c:scaling>
          <c:orientation val="minMax"/>
        </c:scaling>
        <c:axPos val="l"/>
        <c:majorGridlines/>
        <c:numFmt formatCode="General" sourceLinked="1"/>
        <c:tickLblPos val="nextTo"/>
        <c:crossAx val="17235264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регистрируемых энергопаспортов</a:t>
            </a:r>
          </a:p>
        </c:rich>
      </c:tx>
      <c:layout>
        <c:manualLayout>
          <c:xMode val="edge"/>
          <c:yMode val="edge"/>
          <c:x val="0.25026046223388748"/>
          <c:y val="0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</c:v>
                </c:pt>
                <c:pt idx="3">
                  <c:v>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354</c:v>
                </c:pt>
                <c:pt idx="3">
                  <c:v>1211</c:v>
                </c:pt>
              </c:numCache>
            </c:numRef>
          </c:val>
        </c:ser>
        <c:marker val="1"/>
        <c:axId val="172727680"/>
        <c:axId val="172751104"/>
      </c:lineChart>
      <c:catAx>
        <c:axId val="172727680"/>
        <c:scaling>
          <c:orientation val="minMax"/>
        </c:scaling>
        <c:axPos val="b"/>
        <c:tickLblPos val="nextTo"/>
        <c:crossAx val="172751104"/>
        <c:crosses val="autoZero"/>
        <c:auto val="1"/>
        <c:lblAlgn val="ctr"/>
        <c:lblOffset val="100"/>
      </c:catAx>
      <c:valAx>
        <c:axId val="172751104"/>
        <c:scaling>
          <c:orientation val="minMax"/>
        </c:scaling>
        <c:axPos val="l"/>
        <c:majorGridlines/>
        <c:numFmt formatCode="General" sourceLinked="1"/>
        <c:tickLblPos val="nextTo"/>
        <c:crossAx val="17272768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приема членов в </a:t>
            </a:r>
            <a:r>
              <a:rPr lang="ru-RU" sz="1125" b="1" i="0" u="none" strike="noStrike" baseline="0"/>
              <a:t>НП «БалтЭнергоЭффект»</a:t>
            </a:r>
            <a:r>
              <a:rPr lang="ru-RU"/>
              <a:t> в 2014 году 
(январь-октябрь)</a:t>
            </a:r>
          </a:p>
        </c:rich>
      </c:tx>
      <c:layout>
        <c:manualLayout>
          <c:xMode val="edge"/>
          <c:yMode val="edge"/>
          <c:x val="0.1473379429922948"/>
          <c:y val="0"/>
        </c:manualLayout>
      </c:layout>
      <c:spPr>
        <a:noFill/>
        <a:ln w="25394">
          <a:noFill/>
        </a:ln>
      </c:spPr>
    </c:title>
    <c:plotArea>
      <c:layout>
        <c:manualLayout>
          <c:layoutTarget val="inner"/>
          <c:xMode val="edge"/>
          <c:yMode val="edge"/>
          <c:x val="7.1884984025559109E-2"/>
          <c:y val="0.13753581661891118"/>
          <c:w val="0.91373801916932962"/>
          <c:h val="0.6676217765043013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169121664"/>
        <c:axId val="169123200"/>
      </c:barChart>
      <c:catAx>
        <c:axId val="169121664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123200"/>
        <c:crosses val="autoZero"/>
        <c:auto val="1"/>
        <c:lblAlgn val="ctr"/>
        <c:lblOffset val="100"/>
        <c:tickLblSkip val="1"/>
        <c:tickMarkSkip val="1"/>
      </c:catAx>
      <c:valAx>
        <c:axId val="16912320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121664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dLblPos val="inEnd"/>
              <c:showVal val="1"/>
            </c:dLbl>
            <c:dLbl>
              <c:idx val="1"/>
              <c:dLblPos val="inEnd"/>
              <c:showVal val="1"/>
            </c:dLbl>
            <c:dLbl>
              <c:idx val="2"/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4"/>
              <c:dLblPos val="inEnd"/>
              <c:showVal val="1"/>
            </c:dLbl>
            <c:dLbl>
              <c:idx val="5"/>
              <c:dLblPos val="inEnd"/>
              <c:showVal val="1"/>
            </c:dLbl>
            <c:dLbl>
              <c:idx val="6"/>
              <c:dLblPos val="inEnd"/>
              <c:showVal val="1"/>
            </c:dLbl>
            <c:dLbl>
              <c:idx val="7"/>
              <c:dLblPos val="inEnd"/>
              <c:showVal val="1"/>
            </c:dLbl>
            <c:dLbl>
              <c:idx val="8"/>
              <c:dLblPos val="inEnd"/>
              <c:showVal val="1"/>
            </c:dLbl>
            <c:dLbl>
              <c:idx val="9"/>
              <c:dLblPos val="inEnd"/>
              <c:showVal val="1"/>
            </c:dLbl>
            <c:dLbl>
              <c:idx val="10"/>
              <c:dLblPos val="inEnd"/>
              <c:showVal val="1"/>
            </c:dLbl>
            <c:delete val="1"/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</c:dLbls>
          <c:cat>
            <c:strRef>
              <c:f>Лист1!$A$2:$A$10</c:f>
              <c:strCache>
                <c:ptCount val="9"/>
                <c:pt idx="0">
                  <c:v>Санкт-Петербург</c:v>
                </c:pt>
                <c:pt idx="1">
                  <c:v>Ростовская область</c:v>
                </c:pt>
                <c:pt idx="2">
                  <c:v>Ставропольский край </c:v>
                </c:pt>
                <c:pt idx="3">
                  <c:v>Ленинградская область</c:v>
                </c:pt>
                <c:pt idx="4">
                  <c:v>Калининградсакя область</c:v>
                </c:pt>
                <c:pt idx="5">
                  <c:v>Псковская область</c:v>
                </c:pt>
                <c:pt idx="6">
                  <c:v>Мурманская область</c:v>
                </c:pt>
                <c:pt idx="7">
                  <c:v>Архангельская область</c:v>
                </c:pt>
                <c:pt idx="8">
                  <c:v>Другие регионы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1</c:v>
                </c:pt>
                <c:pt idx="7">
                  <c:v>2</c:v>
                </c:pt>
                <c:pt idx="8">
                  <c:v>22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243275441633618"/>
          <c:y val="5.2741831184145514E-2"/>
          <c:w val="0.34542730031086688"/>
          <c:h val="0.87467381794667265"/>
        </c:manualLayout>
      </c:layout>
      <c:txPr>
        <a:bodyPr/>
        <a:lstStyle/>
        <a:p>
          <a:pPr>
            <a:defRPr sz="119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0;[Red]\-0</c:formatCode>
                <c:ptCount val="9"/>
                <c:pt idx="0">
                  <c:v>450</c:v>
                </c:pt>
                <c:pt idx="1">
                  <c:v>490</c:v>
                </c:pt>
                <c:pt idx="2">
                  <c:v>555</c:v>
                </c:pt>
                <c:pt idx="3">
                  <c:v>230</c:v>
                </c:pt>
                <c:pt idx="4">
                  <c:v>537</c:v>
                </c:pt>
                <c:pt idx="5">
                  <c:v>273</c:v>
                </c:pt>
                <c:pt idx="6">
                  <c:v>238</c:v>
                </c:pt>
                <c:pt idx="7">
                  <c:v>520</c:v>
                </c:pt>
                <c:pt idx="8">
                  <c:v>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Задолженность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 formatCode="0;[Red]\-0">
                  <c:v>5974</c:v>
                </c:pt>
                <c:pt idx="1">
                  <c:v>5669</c:v>
                </c:pt>
                <c:pt idx="2">
                  <c:v>5199</c:v>
                </c:pt>
                <c:pt idx="3">
                  <c:v>4969</c:v>
                </c:pt>
                <c:pt idx="4">
                  <c:v>4502</c:v>
                </c:pt>
                <c:pt idx="5">
                  <c:v>4229</c:v>
                </c:pt>
                <c:pt idx="6">
                  <c:v>3992</c:v>
                </c:pt>
                <c:pt idx="7">
                  <c:v>3197</c:v>
                </c:pt>
                <c:pt idx="8" formatCode="0;[Red]\-0">
                  <c:v>3137</c:v>
                </c:pt>
              </c:numCache>
            </c:numRef>
          </c:val>
        </c:ser>
        <c:shape val="cylinder"/>
        <c:axId val="172545536"/>
        <c:axId val="172547072"/>
        <c:axId val="0"/>
      </c:bar3DChart>
      <c:catAx>
        <c:axId val="172545536"/>
        <c:scaling>
          <c:orientation val="minMax"/>
        </c:scaling>
        <c:axPos val="b"/>
        <c:numFmt formatCode="General" sourceLinked="1"/>
        <c:tickLblPos val="nextTo"/>
        <c:crossAx val="172547072"/>
        <c:crosses val="autoZero"/>
        <c:auto val="1"/>
        <c:lblAlgn val="ctr"/>
        <c:lblOffset val="100"/>
      </c:catAx>
      <c:valAx>
        <c:axId val="172547072"/>
        <c:scaling>
          <c:orientation val="minMax"/>
        </c:scaling>
        <c:axPos val="l"/>
        <c:majorGridlines/>
        <c:numFmt formatCode="0;[Red]\-0" sourceLinked="1"/>
        <c:tickLblPos val="nextTo"/>
        <c:crossAx val="172545536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ru-RU"/>
          </a:p>
        </c:txPr>
      </c:legendEntry>
      <c:spPr>
        <a:solidFill>
          <a:schemeClr val="bg1"/>
        </a:solidFill>
      </c:sp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503</c:v>
                </c:pt>
                <c:pt idx="1">
                  <c:v>610</c:v>
                </c:pt>
                <c:pt idx="2">
                  <c:v>578</c:v>
                </c:pt>
                <c:pt idx="3">
                  <c:v>254</c:v>
                </c:pt>
                <c:pt idx="4">
                  <c:v>548</c:v>
                </c:pt>
                <c:pt idx="5">
                  <c:v>310</c:v>
                </c:pt>
                <c:pt idx="6">
                  <c:v>238</c:v>
                </c:pt>
                <c:pt idx="7">
                  <c:v>520</c:v>
                </c:pt>
                <c:pt idx="8" formatCode="0.00">
                  <c:v>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0.00</c:formatCode>
                <c:ptCount val="9"/>
                <c:pt idx="0">
                  <c:v>239</c:v>
                </c:pt>
                <c:pt idx="1">
                  <c:v>425</c:v>
                </c:pt>
                <c:pt idx="2">
                  <c:v>407</c:v>
                </c:pt>
                <c:pt idx="3">
                  <c:v>369</c:v>
                </c:pt>
                <c:pt idx="4">
                  <c:v>308</c:v>
                </c:pt>
                <c:pt idx="5">
                  <c:v>399</c:v>
                </c:pt>
                <c:pt idx="6">
                  <c:v>474</c:v>
                </c:pt>
                <c:pt idx="7">
                  <c:v>376</c:v>
                </c:pt>
                <c:pt idx="8">
                  <c:v>329</c:v>
                </c:pt>
              </c:numCache>
            </c:numRef>
          </c:val>
        </c:ser>
        <c:axId val="172633472"/>
        <c:axId val="175203456"/>
      </c:barChart>
      <c:catAx>
        <c:axId val="172633472"/>
        <c:scaling>
          <c:orientation val="minMax"/>
        </c:scaling>
        <c:axPos val="b"/>
        <c:numFmt formatCode="General" sourceLinked="1"/>
        <c:tickLblPos val="nextTo"/>
        <c:crossAx val="175203456"/>
        <c:crosses val="autoZero"/>
        <c:auto val="1"/>
        <c:lblAlgn val="ctr"/>
        <c:lblOffset val="100"/>
      </c:catAx>
      <c:valAx>
        <c:axId val="175203456"/>
        <c:scaling>
          <c:orientation val="minMax"/>
        </c:scaling>
        <c:axPos val="l"/>
        <c:majorGridlines/>
        <c:numFmt formatCode="0" sourceLinked="1"/>
        <c:tickLblPos val="nextTo"/>
        <c:crossAx val="172633472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b="1"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spPr>
        <a:ln>
          <a:noFill/>
        </a:ln>
      </c:spPr>
      <c:txPr>
        <a:bodyPr/>
        <a:lstStyle/>
        <a:p>
          <a:pPr>
            <a:defRPr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5593508557909139E-2"/>
          <c:y val="1.2797347699958581E-3"/>
          <c:w val="0.57880324516356163"/>
          <c:h val="0.76925420031733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Статьи затрат в %</c:v>
                </c:pt>
              </c:strCache>
            </c:strRef>
          </c:tx>
          <c:dLbls>
            <c:dLbl>
              <c:idx val="0"/>
              <c:layout>
                <c:manualLayout>
                  <c:x val="-3.6654837159439705E-3"/>
                  <c:y val="-6.3625178431643406E-2"/>
                </c:manualLayout>
              </c:layout>
              <c:showVal val="1"/>
            </c:dLbl>
            <c:dLbl>
              <c:idx val="1"/>
              <c:layout>
                <c:manualLayout>
                  <c:x val="4.7214705556171722E-2"/>
                  <c:y val="6.8092277938942309E-3"/>
                </c:manualLayout>
              </c:layout>
              <c:showVal val="1"/>
            </c:dLbl>
            <c:dLbl>
              <c:idx val="2"/>
              <c:layout>
                <c:manualLayout>
                  <c:x val="3.476747624856754E-2"/>
                  <c:y val="9.1404890178201845E-3"/>
                </c:manualLayout>
              </c:layout>
              <c:showVal val="1"/>
            </c:dLbl>
            <c:dLbl>
              <c:idx val="3"/>
              <c:layout>
                <c:manualLayout>
                  <c:x val="-2.0040479095042668E-2"/>
                  <c:y val="-4.5262236957222856E-3"/>
                </c:manualLayout>
              </c:layout>
              <c:showVal val="1"/>
            </c:dLbl>
            <c:dLbl>
              <c:idx val="4"/>
              <c:layout>
                <c:manualLayout>
                  <c:x val="1.0656167979002618E-2"/>
                  <c:y val="-8.4990979333996741E-3"/>
                </c:manualLayout>
              </c:layout>
              <c:showVal val="1"/>
            </c:dLbl>
            <c:dLbl>
              <c:idx val="5"/>
              <c:layout>
                <c:manualLayout>
                  <c:x val="2.5049029953730009E-2"/>
                  <c:y val="-6.9663255655796393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Расходы на оплату труда</c:v>
                </c:pt>
                <c:pt idx="1">
                  <c:v>Аренда</c:v>
                </c:pt>
                <c:pt idx="2">
                  <c:v>Взносы в национальное объединение саморегулируемой организации</c:v>
                </c:pt>
                <c:pt idx="3">
                  <c:v>Расходы на служебные командировки</c:v>
                </c:pt>
                <c:pt idx="4">
                  <c:v>Расходы на приобретение материалов, оказания услуг и выполнение работ</c:v>
                </c:pt>
                <c:pt idx="5">
                  <c:v>Отчисления и налоги</c:v>
                </c:pt>
                <c:pt idx="6">
                  <c:v>Расходы на капитальные вложения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50.449999999999996</c:v>
                </c:pt>
                <c:pt idx="1">
                  <c:v>5.41</c:v>
                </c:pt>
                <c:pt idx="2">
                  <c:v>4.2699999999999996</c:v>
                </c:pt>
                <c:pt idx="3">
                  <c:v>1.24</c:v>
                </c:pt>
                <c:pt idx="4">
                  <c:v>13.629999999999999</c:v>
                </c:pt>
                <c:pt idx="5">
                  <c:v>24.88</c:v>
                </c:pt>
                <c:pt idx="6">
                  <c:v>0.12000000000000002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0.12433736275923256"/>
          <c:y val="0.70741428374084758"/>
          <c:w val="0.78418893941074252"/>
          <c:h val="0.29258571625915325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Компенсационный фонд (тыс. руб.)</c:v>
                </c:pt>
              </c:strCache>
            </c:strRef>
          </c:tx>
          <c:dLbls>
            <c:dLbl>
              <c:idx val="0"/>
              <c:layout>
                <c:manualLayout>
                  <c:x val="-0.12011938611840187"/>
                  <c:y val="-0.32523559555055631"/>
                </c:manualLayout>
              </c:layout>
              <c:spPr/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2008-2013</c:v>
                </c:pt>
                <c:pt idx="1">
                  <c:v>2014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2000</c:v>
                </c:pt>
                <c:pt idx="1">
                  <c:v>50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3143-9CE3-4B27-8A80-30C5B908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5354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35805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ZHURAVLEV_AA</dc:creator>
  <cp:keywords/>
  <dc:description/>
  <cp:lastModifiedBy>BOSS_ORU</cp:lastModifiedBy>
  <cp:revision>2</cp:revision>
  <cp:lastPrinted>2014-10-23T10:32:00Z</cp:lastPrinted>
  <dcterms:created xsi:type="dcterms:W3CDTF">2014-10-23T10:58:00Z</dcterms:created>
  <dcterms:modified xsi:type="dcterms:W3CDTF">2014-10-23T10:58:00Z</dcterms:modified>
</cp:coreProperties>
</file>